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602"/>
        <w:jc w:val="center"/>
        <w:outlineLvl w:val="0"/>
        <w:rPr>
          <w:rFonts w:ascii="黑体" w:hAnsi="黑体" w:eastAsia="黑体"/>
          <w:b/>
          <w:bCs/>
          <w:sz w:val="30"/>
          <w:szCs w:val="30"/>
        </w:rPr>
      </w:pPr>
      <w:bookmarkStart w:id="0" w:name="OLE_LINK2"/>
      <w:bookmarkStart w:id="1" w:name="OLE_LINK1"/>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0" w:firstLineChars="0"/>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0" w:firstLineChars="0"/>
        <w:jc w:val="center"/>
        <w:outlineLvl w:val="0"/>
      </w:pPr>
      <w:r>
        <w:rPr>
          <w:rFonts w:hint="eastAsia" w:hAnsi="黑体"/>
          <w:bCs/>
          <w:sz w:val="44"/>
          <w:szCs w:val="44"/>
        </w:rPr>
        <w:t>团体</w:t>
      </w:r>
      <w:r>
        <w:rPr>
          <w:rFonts w:hAnsi="黑体"/>
          <w:bCs/>
          <w:sz w:val="44"/>
          <w:szCs w:val="44"/>
        </w:rPr>
        <w:t>标准</w:t>
      </w:r>
      <w:r>
        <w:rPr>
          <w:rFonts w:hint="eastAsia" w:hAnsi="黑体"/>
          <w:bCs/>
          <w:sz w:val="44"/>
          <w:szCs w:val="44"/>
        </w:rPr>
        <w:t>《元宇宙内容风险评估通则</w:t>
      </w:r>
      <w:r>
        <w:rPr>
          <w:rFonts w:hint="eastAsia" w:ascii="宋体" w:hAnsi="宋体"/>
          <w:bCs/>
          <w:sz w:val="44"/>
          <w:szCs w:val="44"/>
        </w:rPr>
        <w:t>(征求</w:t>
      </w:r>
      <w:r>
        <w:rPr>
          <w:rFonts w:ascii="宋体" w:hAnsi="宋体"/>
          <w:bCs/>
          <w:sz w:val="44"/>
          <w:szCs w:val="44"/>
        </w:rPr>
        <w:t>意见稿</w:t>
      </w:r>
      <w:r>
        <w:rPr>
          <w:rFonts w:hint="eastAsia" w:ascii="宋体" w:hAnsi="宋体"/>
          <w:bCs/>
          <w:sz w:val="44"/>
          <w:szCs w:val="44"/>
        </w:rPr>
        <w:t>)</w:t>
      </w:r>
      <w:r>
        <w:rPr>
          <w:rFonts w:hint="eastAsia" w:hAnsi="黑体"/>
          <w:bCs/>
          <w:sz w:val="44"/>
          <w:szCs w:val="44"/>
        </w:rPr>
        <w:t>》</w:t>
      </w:r>
    </w:p>
    <w:p>
      <w:pPr>
        <w:autoSpaceDE w:val="0"/>
        <w:autoSpaceDN w:val="0"/>
        <w:adjustRightInd w:val="0"/>
        <w:ind w:firstLine="880"/>
        <w:outlineLvl w:val="0"/>
        <w:rPr>
          <w:rFonts w:ascii="黑体" w:hAnsi="黑体" w:eastAsia="黑体"/>
          <w:bCs/>
          <w:sz w:val="44"/>
          <w:szCs w:val="44"/>
        </w:rPr>
      </w:pPr>
      <w:r>
        <w:rPr>
          <w:rFonts w:hint="eastAsia" w:ascii="黑体" w:hAnsi="黑体" w:eastAsia="黑体"/>
          <w:bCs/>
          <w:sz w:val="44"/>
          <w:szCs w:val="44"/>
        </w:rPr>
        <w:t xml:space="preserve">         编制说明</w:t>
      </w: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0" w:firstLineChars="0"/>
        <w:outlineLvl w:val="0"/>
        <w:rPr>
          <w:rFonts w:ascii="黑体" w:hAnsi="黑体" w:eastAsia="黑体"/>
          <w:b/>
          <w:bCs/>
          <w:sz w:val="30"/>
          <w:szCs w:val="30"/>
        </w:rPr>
      </w:pPr>
    </w:p>
    <w:p>
      <w:pPr>
        <w:autoSpaceDE w:val="0"/>
        <w:autoSpaceDN w:val="0"/>
        <w:adjustRightInd w:val="0"/>
        <w:ind w:firstLine="0" w:firstLineChars="0"/>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560"/>
        <w:jc w:val="center"/>
        <w:outlineLvl w:val="0"/>
        <w:rPr>
          <w:rFonts w:ascii="黑体" w:hAnsi="黑体" w:eastAsia="黑体"/>
          <w:bCs/>
          <w:szCs w:val="28"/>
        </w:rPr>
      </w:pPr>
      <w:r>
        <w:rPr>
          <w:rFonts w:hint="eastAsia" w:ascii="黑体" w:hAnsi="黑体" w:eastAsia="黑体"/>
          <w:bCs/>
          <w:szCs w:val="28"/>
        </w:rPr>
        <w:t>《元宇宙内容风险评估通则》</w:t>
      </w:r>
    </w:p>
    <w:p>
      <w:pPr>
        <w:autoSpaceDE w:val="0"/>
        <w:autoSpaceDN w:val="0"/>
        <w:adjustRightInd w:val="0"/>
        <w:ind w:firstLine="560"/>
        <w:jc w:val="center"/>
        <w:outlineLvl w:val="0"/>
        <w:rPr>
          <w:rFonts w:ascii="黑体" w:hAnsi="黑体" w:eastAsia="黑体"/>
          <w:bCs/>
          <w:szCs w:val="28"/>
        </w:rPr>
      </w:pPr>
      <w:r>
        <w:rPr>
          <w:rFonts w:hint="eastAsia" w:ascii="黑体" w:hAnsi="黑体" w:eastAsia="黑体"/>
          <w:bCs/>
          <w:szCs w:val="28"/>
        </w:rPr>
        <w:t>团体</w:t>
      </w:r>
      <w:r>
        <w:rPr>
          <w:rFonts w:ascii="黑体" w:hAnsi="黑体" w:eastAsia="黑体"/>
          <w:bCs/>
          <w:szCs w:val="28"/>
        </w:rPr>
        <w:t>标准</w:t>
      </w:r>
      <w:r>
        <w:rPr>
          <w:rFonts w:hint="eastAsia" w:ascii="黑体" w:hAnsi="黑体" w:eastAsia="黑体"/>
          <w:bCs/>
          <w:szCs w:val="28"/>
        </w:rPr>
        <w:t>起草工作组</w:t>
      </w:r>
    </w:p>
    <w:p>
      <w:pPr>
        <w:autoSpaceDE w:val="0"/>
        <w:autoSpaceDN w:val="0"/>
        <w:adjustRightInd w:val="0"/>
        <w:ind w:firstLine="560"/>
        <w:jc w:val="center"/>
        <w:outlineLvl w:val="0"/>
        <w:rPr>
          <w:rFonts w:ascii="黑体" w:hAnsi="黑体" w:eastAsia="黑体"/>
          <w:bCs/>
          <w:szCs w:val="28"/>
        </w:rPr>
      </w:pPr>
      <w:r>
        <w:rPr>
          <w:rFonts w:hint="eastAsia" w:ascii="黑体" w:hAnsi="黑体" w:eastAsia="黑体"/>
          <w:bCs/>
          <w:szCs w:val="28"/>
        </w:rPr>
        <w:t>202</w:t>
      </w:r>
      <w:r>
        <w:rPr>
          <w:rFonts w:ascii="黑体" w:hAnsi="黑体" w:eastAsia="黑体"/>
          <w:bCs/>
          <w:szCs w:val="28"/>
        </w:rPr>
        <w:t>3</w:t>
      </w:r>
      <w:r>
        <w:rPr>
          <w:rFonts w:hint="eastAsia" w:ascii="黑体" w:hAnsi="黑体" w:eastAsia="黑体"/>
          <w:bCs/>
          <w:szCs w:val="28"/>
        </w:rPr>
        <w:t>年</w:t>
      </w:r>
      <w:r>
        <w:rPr>
          <w:rFonts w:ascii="黑体" w:hAnsi="黑体" w:eastAsia="黑体"/>
          <w:bCs/>
          <w:szCs w:val="28"/>
        </w:rPr>
        <w:t>8</w:t>
      </w:r>
      <w:r>
        <w:rPr>
          <w:rFonts w:hint="eastAsia" w:ascii="黑体" w:hAnsi="黑体" w:eastAsia="黑体"/>
          <w:bCs/>
          <w:szCs w:val="28"/>
        </w:rPr>
        <w:t>月</w:t>
      </w:r>
    </w:p>
    <w:p>
      <w:pPr>
        <w:autoSpaceDE w:val="0"/>
        <w:autoSpaceDN w:val="0"/>
        <w:adjustRightInd w:val="0"/>
        <w:ind w:firstLine="480"/>
        <w:jc w:val="center"/>
        <w:outlineLvl w:val="0"/>
        <w:rPr>
          <w:rFonts w:ascii="汉仪中黑简" w:eastAsia="汉仪中黑简"/>
          <w:b/>
          <w:sz w:val="36"/>
        </w:rPr>
      </w:pPr>
      <w:r>
        <w:rPr>
          <w:rFonts w:ascii="黑体" w:hAnsi="黑体" w:eastAsia="黑体"/>
          <w:bCs/>
          <w:sz w:val="24"/>
        </w:rPr>
        <w:br w:type="page"/>
      </w:r>
      <w:bookmarkEnd w:id="0"/>
      <w:bookmarkEnd w:id="1"/>
    </w:p>
    <w:p>
      <w:pPr>
        <w:autoSpaceDE w:val="0"/>
        <w:autoSpaceDN w:val="0"/>
        <w:adjustRightInd w:val="0"/>
        <w:ind w:firstLine="562"/>
        <w:jc w:val="left"/>
        <w:outlineLvl w:val="0"/>
        <w:rPr>
          <w:rFonts w:ascii="宋体" w:hAnsi="宋体"/>
          <w:b/>
          <w:szCs w:val="28"/>
        </w:rPr>
      </w:pPr>
      <w:r>
        <w:rPr>
          <w:rFonts w:ascii="宋体" w:hAnsi="宋体"/>
          <w:b/>
          <w:szCs w:val="28"/>
        </w:rPr>
        <w:t>一、工作简况</w:t>
      </w:r>
    </w:p>
    <w:p>
      <w:pPr>
        <w:autoSpaceDE w:val="0"/>
        <w:autoSpaceDN w:val="0"/>
        <w:adjustRightInd w:val="0"/>
        <w:ind w:firstLine="562"/>
        <w:jc w:val="left"/>
        <w:rPr>
          <w:rFonts w:ascii="宋体" w:hAnsi="宋体"/>
          <w:b/>
          <w:szCs w:val="28"/>
        </w:rPr>
      </w:pPr>
      <w:r>
        <w:rPr>
          <w:rFonts w:hint="eastAsia" w:ascii="宋体" w:hAnsi="宋体"/>
          <w:b/>
          <w:szCs w:val="28"/>
        </w:rPr>
        <w:t xml:space="preserve">1. </w:t>
      </w:r>
      <w:r>
        <w:rPr>
          <w:rFonts w:ascii="宋体" w:hAnsi="宋体"/>
          <w:b/>
          <w:szCs w:val="28"/>
        </w:rPr>
        <w:t>任务来源</w:t>
      </w:r>
    </w:p>
    <w:p>
      <w:pPr>
        <w:ind w:firstLine="420" w:firstLineChars="150"/>
        <w:jc w:val="left"/>
        <w:rPr>
          <w:rFonts w:ascii="宋体"/>
        </w:rPr>
      </w:pPr>
      <w:r>
        <w:rPr>
          <w:rFonts w:hint="eastAsia" w:ascii="宋体"/>
        </w:rPr>
        <w:t>本团体标准项目《元宇宙内容风险评估通则》由中国网络社会组织联合会于202</w:t>
      </w:r>
      <w:r>
        <w:rPr>
          <w:rFonts w:ascii="宋体"/>
        </w:rPr>
        <w:t>2</w:t>
      </w:r>
      <w:r>
        <w:rPr>
          <w:rFonts w:hint="eastAsia" w:ascii="宋体"/>
        </w:rPr>
        <w:t>年</w:t>
      </w:r>
      <w:r>
        <w:rPr>
          <w:rFonts w:ascii="宋体"/>
        </w:rPr>
        <w:t>12</w:t>
      </w:r>
      <w:r>
        <w:rPr>
          <w:rFonts w:hint="eastAsia" w:ascii="宋体"/>
        </w:rPr>
        <w:t>月</w:t>
      </w:r>
      <w:r>
        <w:rPr>
          <w:rFonts w:ascii="宋体"/>
        </w:rPr>
        <w:t>28</w:t>
      </w:r>
      <w:r>
        <w:rPr>
          <w:rFonts w:hint="eastAsia" w:ascii="宋体"/>
        </w:rPr>
        <w:t>日审核批准立项并发布团体</w:t>
      </w:r>
      <w:r>
        <w:rPr>
          <w:rFonts w:ascii="宋体"/>
        </w:rPr>
        <w:t>标准</w:t>
      </w:r>
      <w:r>
        <w:rPr>
          <w:rFonts w:hint="eastAsia" w:ascii="宋体"/>
        </w:rPr>
        <w:t>立项公告，本团体标准（以下简称本标准）由咪咕文化科技有限公司提出，由中国网络社会组织联合会归口。</w:t>
      </w:r>
    </w:p>
    <w:p>
      <w:pPr>
        <w:autoSpaceDE w:val="0"/>
        <w:autoSpaceDN w:val="0"/>
        <w:adjustRightInd w:val="0"/>
        <w:ind w:firstLine="562"/>
        <w:jc w:val="left"/>
        <w:rPr>
          <w:rFonts w:ascii="宋体" w:hAnsi="宋体"/>
          <w:b/>
          <w:szCs w:val="28"/>
        </w:rPr>
      </w:pPr>
      <w:r>
        <w:rPr>
          <w:rFonts w:hint="eastAsia" w:ascii="宋体" w:hAnsi="宋体"/>
          <w:b/>
          <w:szCs w:val="28"/>
        </w:rPr>
        <w:t>2. 编制背景和意义</w:t>
      </w:r>
    </w:p>
    <w:p>
      <w:pPr>
        <w:ind w:firstLine="420" w:firstLineChars="150"/>
        <w:jc w:val="left"/>
        <w:rPr>
          <w:rFonts w:ascii="宋体"/>
        </w:rPr>
      </w:pPr>
      <w:r>
        <w:rPr>
          <w:rFonts w:hint="eastAsia" w:ascii="宋体"/>
        </w:rPr>
        <w:t>随互联网技术的快速迭代，区块链、AR、VR、5G等技术应用推广，元宇宙作为下一代互联网探索的代名词，相关应用创新与落地，已备受瞩目。</w:t>
      </w:r>
    </w:p>
    <w:p>
      <w:pPr>
        <w:ind w:firstLine="420" w:firstLineChars="150"/>
        <w:jc w:val="left"/>
        <w:rPr>
          <w:rFonts w:ascii="宋体"/>
        </w:rPr>
      </w:pPr>
      <w:r>
        <w:rPr>
          <w:rFonts w:hint="eastAsia" w:ascii="宋体"/>
        </w:rPr>
        <w:t>元宇宙内容创新虽然层出不穷，但也伴随着更多类型风险的出现。比如，云游戏在提供了更广阔的自由创作空间时也产生了更多避开监管的真空地带；云分发技术在推动更高速的信息传播时也加速了有害信息多维度的传递；超现实虚拟交互在提供便利时也会将社会问题数字化等诸多新型问题。在国内外，已经出现了关于虚拟性暴力、未成年人欺凌、智能问答涉政等方面的乱象与争议。</w:t>
      </w:r>
    </w:p>
    <w:p>
      <w:pPr>
        <w:ind w:firstLine="420" w:firstLineChars="150"/>
        <w:jc w:val="left"/>
        <w:rPr>
          <w:rFonts w:ascii="宋体"/>
        </w:rPr>
      </w:pPr>
      <w:r>
        <w:rPr>
          <w:rFonts w:hint="eastAsia" w:ascii="宋体"/>
        </w:rPr>
        <w:t>近年来，《网络信息内容生态治理规定》《关于进一步压实网站平台信息内容管理主体责任的意见》等一系列政策法规的出台与落地，不断明确了内容生产者、互联网平台、用户、行业协会在维护清朗网络空间工作中的责任，更是对平台在其中的核心角色、作用以及相应的责任，做出了进一步的明晰，为当前互联网治理工作构建了坚实的底层依据。2022年12月出台的《互联网信息服务深度合成管理规定》也已经对部分新兴技术带来的内容风险问题做出了明确指示。</w:t>
      </w:r>
    </w:p>
    <w:p>
      <w:pPr>
        <w:ind w:firstLine="420" w:firstLineChars="150"/>
        <w:jc w:val="left"/>
        <w:rPr>
          <w:rFonts w:ascii="宋体"/>
        </w:rPr>
      </w:pPr>
      <w:r>
        <w:rPr>
          <w:rFonts w:hint="eastAsia" w:ascii="宋体"/>
        </w:rPr>
        <w:t>为更好落实相关政策，及时跟进与做好元宇宙的内容安全管理，助力网络生态治理。在元宇宙走向商业化、规模化应用的前夕，需要及时做好元宇宙内容风险评估工作，提前预防元宇宙内容可能带来的</w:t>
      </w:r>
      <w:r>
        <w:rPr>
          <w:rFonts w:ascii="宋体"/>
        </w:rPr>
        <w:t>风险</w:t>
      </w:r>
      <w:r>
        <w:rPr>
          <w:rFonts w:hint="eastAsia" w:ascii="宋体"/>
        </w:rPr>
        <w:t>。</w:t>
      </w:r>
    </w:p>
    <w:p>
      <w:pPr>
        <w:ind w:firstLine="420" w:firstLineChars="150"/>
        <w:jc w:val="left"/>
        <w:rPr>
          <w:rFonts w:ascii="宋体"/>
        </w:rPr>
      </w:pPr>
      <w:r>
        <w:rPr>
          <w:rFonts w:hint="eastAsia" w:ascii="宋体"/>
        </w:rPr>
        <w:t>因此，开展团体标准《元宇宙内容风险评估通则》的</w:t>
      </w:r>
      <w:r>
        <w:rPr>
          <w:rFonts w:ascii="宋体"/>
        </w:rPr>
        <w:t>研制</w:t>
      </w:r>
      <w:r>
        <w:rPr>
          <w:rFonts w:hint="eastAsia" w:ascii="宋体"/>
        </w:rPr>
        <w:t>是</w:t>
      </w:r>
      <w:r>
        <w:rPr>
          <w:rFonts w:ascii="宋体"/>
        </w:rPr>
        <w:t>十分必要的</w:t>
      </w:r>
      <w:r>
        <w:rPr>
          <w:rFonts w:hint="eastAsia" w:ascii="宋体"/>
        </w:rPr>
        <w:t>，它不仅将对于应对元宇宙虚拟环境下产生的新业态、新事项内容风险的界别</w:t>
      </w:r>
      <w:r>
        <w:rPr>
          <w:rFonts w:ascii="宋体"/>
        </w:rPr>
        <w:t>、</w:t>
      </w:r>
      <w:r>
        <w:rPr>
          <w:rFonts w:hint="eastAsia" w:ascii="宋体"/>
        </w:rPr>
        <w:t>分析、评估及</w:t>
      </w:r>
      <w:r>
        <w:rPr>
          <w:rFonts w:ascii="宋体"/>
        </w:rPr>
        <w:t>处理</w:t>
      </w:r>
      <w:r>
        <w:rPr>
          <w:rFonts w:hint="eastAsia" w:ascii="宋体"/>
        </w:rPr>
        <w:t>工作提供重要的</w:t>
      </w:r>
      <w:r>
        <w:rPr>
          <w:rFonts w:ascii="宋体"/>
        </w:rPr>
        <w:t>支撑</w:t>
      </w:r>
      <w:r>
        <w:rPr>
          <w:rFonts w:hint="eastAsia" w:ascii="宋体"/>
        </w:rPr>
        <w:t>，也将对于协助互联网管理机构</w:t>
      </w:r>
      <w:r>
        <w:rPr>
          <w:rFonts w:ascii="宋体"/>
        </w:rPr>
        <w:t>、平台</w:t>
      </w:r>
      <w:r>
        <w:rPr>
          <w:rFonts w:hint="eastAsia" w:ascii="宋体"/>
        </w:rPr>
        <w:t>企业共同构建风清气正、</w:t>
      </w:r>
      <w:r>
        <w:rPr>
          <w:rFonts w:ascii="宋体"/>
        </w:rPr>
        <w:t>健康发展</w:t>
      </w:r>
      <w:r>
        <w:rPr>
          <w:rFonts w:hint="eastAsia" w:ascii="宋体"/>
        </w:rPr>
        <w:t>的元宇宙内容环境生态具有非常重要的</w:t>
      </w:r>
      <w:r>
        <w:rPr>
          <w:rFonts w:ascii="宋体"/>
        </w:rPr>
        <w:t>作用</w:t>
      </w:r>
      <w:r>
        <w:rPr>
          <w:rFonts w:hint="eastAsia" w:ascii="宋体"/>
        </w:rPr>
        <w:t>。</w:t>
      </w:r>
    </w:p>
    <w:p>
      <w:pPr>
        <w:ind w:firstLine="422" w:firstLineChars="150"/>
        <w:jc w:val="left"/>
        <w:rPr>
          <w:rFonts w:ascii="宋体" w:hAnsi="宋体"/>
          <w:b/>
          <w:szCs w:val="28"/>
        </w:rPr>
      </w:pPr>
      <w:r>
        <w:rPr>
          <w:rFonts w:hint="eastAsia" w:ascii="宋体" w:hAnsi="宋体"/>
          <w:b/>
          <w:szCs w:val="28"/>
        </w:rPr>
        <w:t>3</w:t>
      </w:r>
      <w:r>
        <w:rPr>
          <w:rFonts w:ascii="宋体" w:hAnsi="宋体"/>
          <w:b/>
          <w:szCs w:val="28"/>
        </w:rPr>
        <w:t>. 工作过程</w:t>
      </w:r>
      <w:r>
        <w:rPr>
          <w:rFonts w:hint="eastAsia" w:ascii="宋体" w:hAnsi="宋体"/>
          <w:b/>
          <w:szCs w:val="28"/>
        </w:rPr>
        <w:t>及安排</w:t>
      </w:r>
    </w:p>
    <w:p>
      <w:pPr>
        <w:autoSpaceDE w:val="0"/>
        <w:autoSpaceDN w:val="0"/>
        <w:adjustRightInd w:val="0"/>
        <w:ind w:firstLine="560"/>
        <w:jc w:val="left"/>
        <w:rPr>
          <w:rFonts w:ascii="宋体" w:hAnsi="宋体"/>
          <w:szCs w:val="28"/>
        </w:rPr>
      </w:pPr>
      <w:r>
        <w:rPr>
          <w:rFonts w:hint="eastAsia" w:ascii="宋体" w:hAnsi="宋体"/>
          <w:szCs w:val="28"/>
        </w:rPr>
        <w:t>1）标准立项</w:t>
      </w:r>
    </w:p>
    <w:p>
      <w:pPr>
        <w:pStyle w:val="16"/>
        <w:snapToGrid w:val="0"/>
        <w:ind w:firstLine="560"/>
        <w:rPr>
          <w:rFonts w:ascii="宋体" w:hAnsi="宋体"/>
          <w:szCs w:val="28"/>
        </w:rPr>
      </w:pPr>
      <w:r>
        <w:rPr>
          <w:rFonts w:hint="eastAsia" w:ascii="宋体" w:hAnsi="宋体"/>
          <w:szCs w:val="28"/>
        </w:rPr>
        <w:t>202</w:t>
      </w:r>
      <w:r>
        <w:rPr>
          <w:rFonts w:ascii="宋体" w:hAnsi="宋体"/>
          <w:szCs w:val="28"/>
        </w:rPr>
        <w:t>2</w:t>
      </w:r>
      <w:r>
        <w:rPr>
          <w:rFonts w:hint="eastAsia" w:ascii="宋体" w:hAnsi="宋体"/>
          <w:szCs w:val="28"/>
        </w:rPr>
        <w:t>年下半年，通过开展大量文献分析、理论研究，咨询调研，</w:t>
      </w:r>
      <w:r>
        <w:rPr>
          <w:rFonts w:hint="eastAsia" w:ascii="宋体"/>
        </w:rPr>
        <w:t>咪咕文化科技有限公司</w:t>
      </w:r>
      <w:r>
        <w:rPr>
          <w:rFonts w:hint="eastAsia" w:ascii="宋体" w:hAnsi="宋体"/>
          <w:szCs w:val="28"/>
        </w:rPr>
        <w:t>完成了</w:t>
      </w:r>
      <w:r>
        <w:rPr>
          <w:rFonts w:hint="eastAsia" w:ascii="宋体"/>
        </w:rPr>
        <w:t>《元宇宙内容应用</w:t>
      </w:r>
      <w:r>
        <w:rPr>
          <w:rFonts w:ascii="宋体"/>
        </w:rPr>
        <w:t>场景内容</w:t>
      </w:r>
      <w:r>
        <w:rPr>
          <w:rFonts w:hint="eastAsia" w:ascii="宋体"/>
        </w:rPr>
        <w:t>风险评估通则》</w:t>
      </w:r>
      <w:r>
        <w:rPr>
          <w:rFonts w:hint="eastAsia" w:ascii="宋体" w:hAnsi="宋体"/>
          <w:szCs w:val="28"/>
        </w:rPr>
        <w:t>项目立项申请工作，</w:t>
      </w:r>
      <w:r>
        <w:rPr>
          <w:rFonts w:ascii="宋体" w:hAnsi="宋体"/>
          <w:szCs w:val="28"/>
        </w:rPr>
        <w:t>2022年10月</w:t>
      </w:r>
      <w:r>
        <w:rPr>
          <w:rFonts w:ascii="Helvetica" w:hAnsi="Helvetica" w:cs="Helvetica"/>
          <w:color w:val="000000"/>
        </w:rPr>
        <w:t>，</w:t>
      </w:r>
      <w:r>
        <w:rPr>
          <w:rFonts w:hint="eastAsia" w:ascii="宋体"/>
        </w:rPr>
        <w:t>中国网络社会组织联合会</w:t>
      </w:r>
      <w:r>
        <w:rPr>
          <w:rFonts w:ascii="Helvetica" w:hAnsi="Helvetica" w:cs="Helvetica"/>
          <w:color w:val="000000"/>
        </w:rPr>
        <w:t>组织了第二批团体标准立项申报，经专家评议、研究论证，</w:t>
      </w:r>
      <w:r>
        <w:rPr>
          <w:rFonts w:hint="eastAsia" w:ascii="宋体" w:hAnsi="宋体"/>
          <w:szCs w:val="28"/>
        </w:rPr>
        <w:t>经</w:t>
      </w:r>
      <w:r>
        <w:rPr>
          <w:rFonts w:hint="eastAsia" w:hAnsi="宋体"/>
          <w:szCs w:val="21"/>
        </w:rPr>
        <w:t>中国网络社会组织联合会</w:t>
      </w:r>
      <w:r>
        <w:rPr>
          <w:rFonts w:hint="eastAsia" w:cs="Arial"/>
          <w:color w:val="595959"/>
        </w:rPr>
        <w:t>立项评估</w:t>
      </w:r>
      <w:r>
        <w:rPr>
          <w:rFonts w:cs="Arial"/>
          <w:color w:val="595959"/>
        </w:rPr>
        <w:t>通过</w:t>
      </w:r>
      <w:r>
        <w:rPr>
          <w:rFonts w:hint="eastAsia" w:cs="Arial"/>
          <w:color w:val="595959"/>
        </w:rPr>
        <w:t>，于</w:t>
      </w:r>
      <w:r>
        <w:rPr>
          <w:rFonts w:hint="eastAsia" w:hAnsi="宋体"/>
          <w:szCs w:val="21"/>
        </w:rPr>
        <w:t>202</w:t>
      </w:r>
      <w:r>
        <w:rPr>
          <w:rFonts w:hAnsi="宋体"/>
          <w:szCs w:val="21"/>
        </w:rPr>
        <w:t>2</w:t>
      </w:r>
      <w:r>
        <w:rPr>
          <w:rFonts w:hint="eastAsia" w:hAnsi="宋体"/>
          <w:szCs w:val="21"/>
        </w:rPr>
        <w:t>年</w:t>
      </w:r>
      <w:r>
        <w:rPr>
          <w:rFonts w:hAnsi="宋体"/>
          <w:szCs w:val="21"/>
        </w:rPr>
        <w:t>12</w:t>
      </w:r>
      <w:r>
        <w:rPr>
          <w:rFonts w:hint="eastAsia" w:hAnsi="宋体"/>
          <w:szCs w:val="21"/>
        </w:rPr>
        <w:t>月</w:t>
      </w:r>
      <w:r>
        <w:rPr>
          <w:rFonts w:hAnsi="宋体"/>
          <w:szCs w:val="21"/>
        </w:rPr>
        <w:t>26</w:t>
      </w:r>
      <w:r>
        <w:rPr>
          <w:rFonts w:hint="eastAsia" w:hAnsi="宋体"/>
          <w:szCs w:val="21"/>
        </w:rPr>
        <w:t>日由</w:t>
      </w:r>
      <w:r>
        <w:rPr>
          <w:rFonts w:hint="eastAsia" w:ascii="宋体"/>
        </w:rPr>
        <w:t>中国网络社会组织联合会</w:t>
      </w:r>
      <w:r>
        <w:rPr>
          <w:rFonts w:hint="eastAsia" w:hAnsi="宋体"/>
          <w:szCs w:val="21"/>
        </w:rPr>
        <w:t>发文</w:t>
      </w:r>
      <w:r>
        <w:rPr>
          <w:rFonts w:hint="eastAsia" w:ascii="宋体" w:hAnsi="宋体"/>
          <w:szCs w:val="28"/>
        </w:rPr>
        <w:t>批准团体标准立项。</w:t>
      </w:r>
    </w:p>
    <w:p>
      <w:pPr>
        <w:autoSpaceDE w:val="0"/>
        <w:autoSpaceDN w:val="0"/>
        <w:adjustRightInd w:val="0"/>
        <w:ind w:firstLine="560"/>
        <w:jc w:val="left"/>
        <w:rPr>
          <w:rFonts w:ascii="宋体" w:hAnsi="宋体"/>
          <w:szCs w:val="28"/>
        </w:rPr>
      </w:pPr>
      <w:r>
        <w:rPr>
          <w:rFonts w:hint="eastAsia" w:ascii="宋体" w:hAnsi="宋体"/>
          <w:szCs w:val="28"/>
        </w:rPr>
        <w:t>2）标准起草阶段</w:t>
      </w:r>
    </w:p>
    <w:p>
      <w:pPr>
        <w:autoSpaceDE w:val="0"/>
        <w:autoSpaceDN w:val="0"/>
        <w:adjustRightInd w:val="0"/>
        <w:ind w:firstLine="560"/>
        <w:jc w:val="left"/>
        <w:rPr>
          <w:rFonts w:ascii="宋体" w:hAnsi="宋体"/>
          <w:szCs w:val="28"/>
        </w:rPr>
      </w:pPr>
      <w:r>
        <w:rPr>
          <w:rFonts w:hint="eastAsia" w:ascii="宋体" w:hAnsi="宋体"/>
          <w:szCs w:val="28"/>
        </w:rPr>
        <w:t>202</w:t>
      </w:r>
      <w:r>
        <w:rPr>
          <w:rFonts w:ascii="宋体" w:hAnsi="宋体"/>
          <w:szCs w:val="28"/>
        </w:rPr>
        <w:t>3</w:t>
      </w:r>
      <w:r>
        <w:rPr>
          <w:rFonts w:hint="eastAsia" w:ascii="宋体" w:hAnsi="宋体"/>
          <w:szCs w:val="28"/>
        </w:rPr>
        <w:t>年</w:t>
      </w:r>
      <w:r>
        <w:rPr>
          <w:rFonts w:ascii="宋体" w:hAnsi="宋体"/>
          <w:szCs w:val="28"/>
        </w:rPr>
        <w:t>3</w:t>
      </w:r>
      <w:r>
        <w:rPr>
          <w:rFonts w:hint="eastAsia" w:ascii="宋体" w:hAnsi="宋体"/>
          <w:szCs w:val="28"/>
        </w:rPr>
        <w:t>月</w:t>
      </w:r>
      <w:r>
        <w:rPr>
          <w:rFonts w:ascii="宋体" w:hAnsi="宋体"/>
          <w:szCs w:val="28"/>
        </w:rPr>
        <w:t>10</w:t>
      </w:r>
      <w:r>
        <w:rPr>
          <w:rFonts w:hint="eastAsia" w:ascii="宋体" w:hAnsi="宋体"/>
          <w:szCs w:val="28"/>
        </w:rPr>
        <w:t>日，由</w:t>
      </w:r>
      <w:r>
        <w:rPr>
          <w:rFonts w:hint="eastAsia" w:ascii="宋体"/>
        </w:rPr>
        <w:t>中国网络社会组织联合会</w:t>
      </w:r>
      <w:r>
        <w:rPr>
          <w:rFonts w:hint="eastAsia" w:hAnsi="宋体"/>
          <w:szCs w:val="21"/>
        </w:rPr>
        <w:t>组织召开</w:t>
      </w:r>
      <w:r>
        <w:rPr>
          <w:rFonts w:hAnsi="宋体"/>
          <w:szCs w:val="21"/>
        </w:rPr>
        <w:t>了</w:t>
      </w:r>
      <w:r>
        <w:rPr>
          <w:rFonts w:hint="eastAsia" w:hAnsi="宋体"/>
          <w:szCs w:val="21"/>
        </w:rPr>
        <w:t>本项目团体</w:t>
      </w:r>
      <w:r>
        <w:rPr>
          <w:rFonts w:hAnsi="宋体"/>
          <w:szCs w:val="21"/>
        </w:rPr>
        <w:t>标准启动会，会议</w:t>
      </w:r>
      <w:r>
        <w:rPr>
          <w:rFonts w:hint="eastAsia" w:hAnsi="宋体"/>
          <w:szCs w:val="21"/>
        </w:rPr>
        <w:t>上</w:t>
      </w:r>
      <w:r>
        <w:rPr>
          <w:rFonts w:hAnsi="宋体"/>
          <w:szCs w:val="21"/>
        </w:rPr>
        <w:t>成立了</w:t>
      </w:r>
      <w:r>
        <w:rPr>
          <w:rFonts w:hint="eastAsia" w:hAnsi="宋体"/>
          <w:szCs w:val="21"/>
        </w:rPr>
        <w:t>由</w:t>
      </w:r>
      <w:r>
        <w:rPr>
          <w:rFonts w:hint="eastAsia" w:ascii="宋体"/>
        </w:rPr>
        <w:t>中国网络社会组织联合会</w:t>
      </w:r>
      <w:r>
        <w:rPr>
          <w:rFonts w:hint="eastAsia" w:hAnsi="宋体"/>
          <w:szCs w:val="21"/>
        </w:rPr>
        <w:t>、</w:t>
      </w:r>
      <w:r>
        <w:rPr>
          <w:rFonts w:hint="eastAsia" w:ascii="宋体"/>
        </w:rPr>
        <w:t>咪咕文化科技有限公司、</w:t>
      </w:r>
      <w:r>
        <w:rPr>
          <w:rFonts w:hint="eastAsia" w:hAnsi="宋体"/>
          <w:szCs w:val="21"/>
        </w:rPr>
        <w:t>中国标准化研究院、北京百度网讯科技有限公司、360集团</w:t>
      </w:r>
      <w:r>
        <w:rPr>
          <w:rFonts w:hAnsi="宋体"/>
          <w:szCs w:val="21"/>
        </w:rPr>
        <w:t>、</w:t>
      </w:r>
      <w:r>
        <w:rPr>
          <w:rFonts w:hint="eastAsia" w:hAnsi="宋体"/>
          <w:szCs w:val="21"/>
        </w:rPr>
        <w:t>联通在线信息科技有限公司等单位</w:t>
      </w:r>
      <w:r>
        <w:rPr>
          <w:rFonts w:hint="eastAsia" w:ascii="宋体" w:hAnsi="宋体"/>
          <w:szCs w:val="28"/>
        </w:rPr>
        <w:t>组成的标准起草工作组，会议经与会单位充分讨论</w:t>
      </w:r>
      <w:r>
        <w:rPr>
          <w:rFonts w:ascii="宋体" w:hAnsi="宋体"/>
          <w:szCs w:val="28"/>
        </w:rPr>
        <w:t>确定</w:t>
      </w:r>
      <w:r>
        <w:rPr>
          <w:rFonts w:hint="eastAsia" w:ascii="宋体" w:hAnsi="宋体"/>
          <w:szCs w:val="28"/>
        </w:rPr>
        <w:t>本</w:t>
      </w:r>
      <w:r>
        <w:rPr>
          <w:rFonts w:ascii="宋体" w:hAnsi="宋体"/>
          <w:szCs w:val="28"/>
        </w:rPr>
        <w:t>标准的</w:t>
      </w:r>
      <w:r>
        <w:rPr>
          <w:rFonts w:hint="eastAsia" w:ascii="宋体" w:hAnsi="宋体"/>
          <w:szCs w:val="28"/>
        </w:rPr>
        <w:t>项目</w:t>
      </w:r>
      <w:r>
        <w:rPr>
          <w:rFonts w:ascii="宋体" w:hAnsi="宋体"/>
          <w:szCs w:val="28"/>
        </w:rPr>
        <w:t>名称</w:t>
      </w:r>
      <w:r>
        <w:rPr>
          <w:rFonts w:hint="eastAsia" w:ascii="宋体" w:hAnsi="宋体"/>
          <w:szCs w:val="28"/>
        </w:rPr>
        <w:t>调整</w:t>
      </w:r>
      <w:r>
        <w:rPr>
          <w:rFonts w:ascii="宋体" w:hAnsi="宋体"/>
          <w:szCs w:val="28"/>
        </w:rPr>
        <w:t>为</w:t>
      </w:r>
      <w:r>
        <w:rPr>
          <w:rFonts w:hint="eastAsia" w:ascii="宋体"/>
        </w:rPr>
        <w:t>《元宇宙内容风险评估通则》。标准启动会后经咪咕文化科技有限公司与</w:t>
      </w:r>
      <w:r>
        <w:rPr>
          <w:rFonts w:hint="eastAsia" w:hAnsi="宋体"/>
          <w:szCs w:val="21"/>
        </w:rPr>
        <w:t>中国标准化研究院开展的进一步研究</w:t>
      </w:r>
      <w:r>
        <w:rPr>
          <w:rFonts w:hAnsi="宋体"/>
          <w:szCs w:val="21"/>
        </w:rPr>
        <w:t>，</w:t>
      </w:r>
      <w:r>
        <w:rPr>
          <w:rFonts w:hint="eastAsia" w:ascii="宋体" w:hAnsi="宋体"/>
          <w:szCs w:val="28"/>
        </w:rPr>
        <w:t>确定了标准文本的研制思路和标准主体内容</w:t>
      </w:r>
      <w:r>
        <w:rPr>
          <w:rFonts w:ascii="宋体" w:hAnsi="宋体"/>
          <w:szCs w:val="28"/>
        </w:rPr>
        <w:t>及</w:t>
      </w:r>
      <w:r>
        <w:rPr>
          <w:rFonts w:hint="eastAsia" w:ascii="宋体" w:hAnsi="宋体"/>
          <w:szCs w:val="28"/>
        </w:rPr>
        <w:t>构架，</w:t>
      </w:r>
      <w:r>
        <w:rPr>
          <w:rFonts w:ascii="宋体" w:hAnsi="宋体"/>
          <w:szCs w:val="28"/>
        </w:rPr>
        <w:t>并开展了标准</w:t>
      </w:r>
      <w:r>
        <w:rPr>
          <w:rFonts w:hint="eastAsia" w:ascii="宋体" w:hAnsi="宋体"/>
          <w:szCs w:val="28"/>
        </w:rPr>
        <w:t>文本</w:t>
      </w:r>
      <w:r>
        <w:rPr>
          <w:rFonts w:ascii="宋体" w:hAnsi="宋体"/>
          <w:szCs w:val="28"/>
        </w:rPr>
        <w:t>的</w:t>
      </w:r>
      <w:r>
        <w:rPr>
          <w:rFonts w:hint="eastAsia" w:ascii="宋体" w:hAnsi="宋体"/>
          <w:szCs w:val="28"/>
        </w:rPr>
        <w:t>相关</w:t>
      </w:r>
      <w:r>
        <w:rPr>
          <w:rFonts w:ascii="宋体" w:hAnsi="宋体"/>
          <w:szCs w:val="28"/>
        </w:rPr>
        <w:t>法规</w:t>
      </w:r>
      <w:r>
        <w:rPr>
          <w:rFonts w:hint="eastAsia" w:ascii="宋体" w:hAnsi="宋体"/>
          <w:szCs w:val="28"/>
        </w:rPr>
        <w:t>文献</w:t>
      </w:r>
      <w:r>
        <w:rPr>
          <w:rFonts w:ascii="宋体" w:hAnsi="宋体"/>
          <w:szCs w:val="28"/>
        </w:rPr>
        <w:t>采集</w:t>
      </w:r>
      <w:r>
        <w:rPr>
          <w:rFonts w:hint="eastAsia" w:ascii="宋体" w:hAnsi="宋体"/>
          <w:szCs w:val="28"/>
        </w:rPr>
        <w:t>分析</w:t>
      </w:r>
      <w:r>
        <w:rPr>
          <w:rFonts w:ascii="宋体" w:hAnsi="宋体"/>
          <w:szCs w:val="28"/>
        </w:rPr>
        <w:t>、专家咨询及内容编制工作，</w:t>
      </w:r>
      <w:r>
        <w:rPr>
          <w:rFonts w:hint="eastAsia" w:ascii="宋体" w:hAnsi="宋体"/>
          <w:szCs w:val="28"/>
        </w:rPr>
        <w:t>期间召开了</w:t>
      </w:r>
      <w:r>
        <w:rPr>
          <w:rFonts w:ascii="宋体" w:hAnsi="宋体"/>
          <w:szCs w:val="28"/>
        </w:rPr>
        <w:t>9</w:t>
      </w:r>
      <w:r>
        <w:rPr>
          <w:rFonts w:hint="eastAsia" w:ascii="宋体" w:hAnsi="宋体"/>
          <w:szCs w:val="28"/>
        </w:rPr>
        <w:t>次线下标准</w:t>
      </w:r>
      <w:r>
        <w:rPr>
          <w:rFonts w:ascii="宋体" w:hAnsi="宋体"/>
          <w:szCs w:val="28"/>
        </w:rPr>
        <w:t>起草工作</w:t>
      </w:r>
      <w:r>
        <w:rPr>
          <w:rFonts w:hint="eastAsia" w:ascii="宋体" w:hAnsi="宋体"/>
          <w:szCs w:val="28"/>
        </w:rPr>
        <w:t>会议并对</w:t>
      </w:r>
      <w:r>
        <w:rPr>
          <w:rFonts w:hint="eastAsia" w:hAnsi="宋体"/>
          <w:szCs w:val="21"/>
        </w:rPr>
        <w:t>北京百度网讯科技有限公司等单位元宇宙</w:t>
      </w:r>
      <w:r>
        <w:rPr>
          <w:rFonts w:hAnsi="宋体"/>
          <w:szCs w:val="21"/>
        </w:rPr>
        <w:t>应用情况开展了</w:t>
      </w:r>
      <w:r>
        <w:rPr>
          <w:rFonts w:hint="eastAsia" w:hAnsi="宋体"/>
          <w:szCs w:val="21"/>
        </w:rPr>
        <w:t>实地</w:t>
      </w:r>
      <w:r>
        <w:rPr>
          <w:rFonts w:hAnsi="宋体"/>
          <w:szCs w:val="21"/>
        </w:rPr>
        <w:t>调研，</w:t>
      </w:r>
      <w:r>
        <w:rPr>
          <w:rFonts w:hint="eastAsia" w:hAnsi="宋体"/>
          <w:szCs w:val="21"/>
        </w:rPr>
        <w:t>起草过程中</w:t>
      </w:r>
      <w:r>
        <w:rPr>
          <w:rFonts w:hAnsi="宋体"/>
          <w:szCs w:val="21"/>
        </w:rPr>
        <w:t>积极</w:t>
      </w:r>
      <w:r>
        <w:rPr>
          <w:rFonts w:hint="eastAsia" w:hAnsi="宋体"/>
          <w:szCs w:val="21"/>
        </w:rPr>
        <w:t>了解吸纳</w:t>
      </w:r>
      <w:r>
        <w:rPr>
          <w:rFonts w:hAnsi="宋体"/>
          <w:szCs w:val="21"/>
        </w:rPr>
        <w:t>起草组参与</w:t>
      </w:r>
      <w:r>
        <w:rPr>
          <w:rFonts w:hint="eastAsia" w:hAnsi="宋体"/>
          <w:szCs w:val="21"/>
        </w:rPr>
        <w:t>单位</w:t>
      </w:r>
      <w:r>
        <w:rPr>
          <w:rFonts w:hAnsi="宋体"/>
          <w:szCs w:val="21"/>
        </w:rPr>
        <w:t>的</w:t>
      </w:r>
      <w:r>
        <w:rPr>
          <w:rFonts w:hint="eastAsia" w:hAnsi="宋体"/>
          <w:szCs w:val="21"/>
        </w:rPr>
        <w:t>元宇宙研究</w:t>
      </w:r>
      <w:r>
        <w:rPr>
          <w:rFonts w:hAnsi="宋体"/>
          <w:szCs w:val="21"/>
        </w:rPr>
        <w:t>及应用成果</w:t>
      </w:r>
      <w:r>
        <w:rPr>
          <w:rFonts w:hint="eastAsia" w:hAnsi="宋体"/>
          <w:szCs w:val="21"/>
        </w:rPr>
        <w:t>，并在</w:t>
      </w:r>
      <w:r>
        <w:rPr>
          <w:rFonts w:hint="eastAsia" w:ascii="宋体"/>
        </w:rPr>
        <w:t>中国网络社会组织联合会</w:t>
      </w:r>
      <w:r>
        <w:rPr>
          <w:rFonts w:ascii="宋体"/>
        </w:rPr>
        <w:t>的</w:t>
      </w:r>
      <w:r>
        <w:rPr>
          <w:rFonts w:hint="eastAsia" w:ascii="宋体"/>
        </w:rPr>
        <w:t>统一指导下</w:t>
      </w:r>
      <w:r>
        <w:rPr>
          <w:rFonts w:hint="eastAsia" w:ascii="宋体" w:hAnsi="宋体"/>
          <w:szCs w:val="28"/>
        </w:rPr>
        <w:t>，标准起草工作组成员</w:t>
      </w:r>
      <w:r>
        <w:rPr>
          <w:rFonts w:ascii="宋体" w:hAnsi="宋体"/>
          <w:szCs w:val="28"/>
        </w:rPr>
        <w:t>单位</w:t>
      </w:r>
      <w:r>
        <w:rPr>
          <w:rFonts w:hint="eastAsia" w:ascii="宋体" w:hAnsi="宋体"/>
          <w:szCs w:val="28"/>
        </w:rPr>
        <w:t>对标准文本内容经过了多次修改完善并与有关</w:t>
      </w:r>
      <w:r>
        <w:rPr>
          <w:rFonts w:ascii="宋体" w:hAnsi="宋体"/>
          <w:szCs w:val="28"/>
        </w:rPr>
        <w:t>专家</w:t>
      </w:r>
      <w:r>
        <w:rPr>
          <w:rFonts w:hint="eastAsia" w:ascii="宋体" w:hAnsi="宋体"/>
          <w:szCs w:val="28"/>
        </w:rPr>
        <w:t>进行了多次沟通及咨询，在此基础上形成了标准征求意见稿及编制说明</w:t>
      </w:r>
      <w:r>
        <w:rPr>
          <w:rFonts w:ascii="宋体" w:hAnsi="宋体"/>
          <w:szCs w:val="28"/>
        </w:rPr>
        <w:t>等附件，提交</w:t>
      </w:r>
      <w:r>
        <w:rPr>
          <w:rFonts w:hint="eastAsia" w:ascii="宋体"/>
        </w:rPr>
        <w:t>中国网络社会组织联合会</w:t>
      </w:r>
      <w:r>
        <w:rPr>
          <w:rFonts w:hint="eastAsia" w:hAnsi="宋体"/>
          <w:szCs w:val="21"/>
        </w:rPr>
        <w:t>秘书处</w:t>
      </w:r>
      <w:r>
        <w:rPr>
          <w:rFonts w:hAnsi="宋体"/>
          <w:szCs w:val="21"/>
        </w:rPr>
        <w:t>对外征求意见。</w:t>
      </w:r>
    </w:p>
    <w:p>
      <w:pPr>
        <w:autoSpaceDE w:val="0"/>
        <w:autoSpaceDN w:val="0"/>
        <w:adjustRightInd w:val="0"/>
        <w:ind w:firstLine="562"/>
        <w:jc w:val="left"/>
        <w:outlineLvl w:val="0"/>
        <w:rPr>
          <w:rFonts w:ascii="宋体" w:hAnsi="宋体"/>
          <w:b/>
          <w:szCs w:val="28"/>
        </w:rPr>
      </w:pPr>
      <w:r>
        <w:rPr>
          <w:rFonts w:ascii="宋体" w:hAnsi="宋体"/>
          <w:b/>
          <w:szCs w:val="28"/>
        </w:rPr>
        <w:t>二、标准技术内容</w:t>
      </w:r>
    </w:p>
    <w:p>
      <w:pPr>
        <w:ind w:firstLine="562"/>
        <w:rPr>
          <w:rFonts w:ascii="宋体" w:hAnsi="宋体"/>
          <w:b/>
          <w:szCs w:val="28"/>
        </w:rPr>
      </w:pPr>
      <w:r>
        <w:rPr>
          <w:rFonts w:hint="eastAsia" w:ascii="宋体" w:hAnsi="宋体"/>
          <w:b/>
          <w:szCs w:val="28"/>
        </w:rPr>
        <w:t>1.标准编制文件依据</w:t>
      </w:r>
    </w:p>
    <w:p>
      <w:pPr>
        <w:widowControl/>
        <w:tabs>
          <w:tab w:val="center" w:pos="4201"/>
          <w:tab w:val="right" w:leader="dot" w:pos="9298"/>
        </w:tabs>
        <w:autoSpaceDE w:val="0"/>
        <w:autoSpaceDN w:val="0"/>
        <w:spacing w:before="240" w:beforeLines="100"/>
        <w:ind w:firstLine="560"/>
        <w:jc w:val="left"/>
        <w:rPr>
          <w:rFonts w:ascii="宋体" w:hAnsi="宋体"/>
          <w:szCs w:val="28"/>
        </w:rPr>
      </w:pPr>
      <w:r>
        <w:rPr>
          <w:rFonts w:hint="eastAsia" w:ascii="宋体" w:hAnsi="宋体"/>
          <w:szCs w:val="28"/>
        </w:rPr>
        <w:t>本</w:t>
      </w:r>
      <w:r>
        <w:rPr>
          <w:rFonts w:ascii="宋体" w:hAnsi="宋体"/>
          <w:szCs w:val="28"/>
        </w:rPr>
        <w:t>标准</w:t>
      </w:r>
      <w:r>
        <w:rPr>
          <w:rFonts w:hint="eastAsia" w:ascii="宋体" w:hAnsi="宋体"/>
          <w:szCs w:val="28"/>
        </w:rPr>
        <w:t>为新制定标准，标准编制时主要依据：本标准草案的编写格式按照新发布的GB/T 1.1-2020《</w:t>
      </w:r>
      <w:r>
        <w:rPr>
          <w:rFonts w:hint="eastAsia" w:ascii="宋体"/>
          <w:kern w:val="0"/>
          <w:szCs w:val="20"/>
        </w:rPr>
        <w:t>标准化工作导则 第1部分：标准化文件的结构和起草规则</w:t>
      </w:r>
      <w:r>
        <w:rPr>
          <w:rFonts w:hint="eastAsia" w:ascii="宋体" w:hAnsi="宋体"/>
          <w:szCs w:val="28"/>
        </w:rPr>
        <w:t>》起草。起草过程中参考了《</w:t>
      </w:r>
      <w:r>
        <w:rPr>
          <w:rFonts w:ascii="宋体" w:hAnsi="宋体"/>
          <w:szCs w:val="28"/>
        </w:rPr>
        <w:t>中华人民共和国个人信息保护法</w:t>
      </w:r>
      <w:r>
        <w:rPr>
          <w:rFonts w:hint="eastAsia" w:ascii="宋体" w:hAnsi="宋体"/>
          <w:szCs w:val="28"/>
        </w:rPr>
        <w:t>》、《</w:t>
      </w:r>
      <w:r>
        <w:rPr>
          <w:rFonts w:ascii="宋体" w:hAnsi="宋体"/>
          <w:szCs w:val="28"/>
        </w:rPr>
        <w:t>中华人民共和国网络安全法</w:t>
      </w:r>
      <w:r>
        <w:rPr>
          <w:rFonts w:hint="eastAsia" w:ascii="宋体" w:hAnsi="宋体"/>
          <w:szCs w:val="28"/>
        </w:rPr>
        <w:t>》、《</w:t>
      </w:r>
      <w:r>
        <w:rPr>
          <w:rFonts w:ascii="宋体" w:hAnsi="宋体"/>
          <w:szCs w:val="28"/>
        </w:rPr>
        <w:t>互联网信息服务管理办法</w:t>
      </w:r>
      <w:r>
        <w:rPr>
          <w:rFonts w:hint="eastAsia" w:ascii="宋体" w:hAnsi="宋体"/>
          <w:szCs w:val="28"/>
        </w:rPr>
        <w:t>》、</w:t>
      </w:r>
      <w:r>
        <w:rPr>
          <w:rFonts w:ascii="宋体" w:hAnsi="宋体"/>
          <w:szCs w:val="28"/>
        </w:rPr>
        <w:t>《儿童个人信息网络保护规定》</w:t>
      </w:r>
      <w:r>
        <w:rPr>
          <w:rFonts w:hint="eastAsia" w:ascii="宋体" w:hAnsi="宋体"/>
          <w:szCs w:val="28"/>
        </w:rPr>
        <w:t>、《网络信息内容生态治理规定》、《关于加强网络直播规范管理工作的指导意见》、</w:t>
      </w:r>
      <w:r>
        <w:rPr>
          <w:rFonts w:ascii="宋体" w:hAnsi="宋体"/>
          <w:szCs w:val="28"/>
        </w:rPr>
        <w:t>《互联网信息服务深度合成管理规定</w:t>
      </w:r>
      <w:r>
        <w:rPr>
          <w:rFonts w:hint="eastAsia" w:ascii="宋体" w:hAnsi="宋体"/>
          <w:szCs w:val="28"/>
        </w:rPr>
        <w:t>》等相关</w:t>
      </w:r>
      <w:r>
        <w:rPr>
          <w:rFonts w:ascii="宋体" w:hAnsi="宋体"/>
          <w:szCs w:val="28"/>
        </w:rPr>
        <w:t>法规及政策文件。</w:t>
      </w:r>
    </w:p>
    <w:p>
      <w:pPr>
        <w:autoSpaceDE w:val="0"/>
        <w:autoSpaceDN w:val="0"/>
        <w:adjustRightInd w:val="0"/>
        <w:ind w:firstLine="562"/>
        <w:jc w:val="left"/>
        <w:rPr>
          <w:rFonts w:ascii="宋体" w:hAnsi="宋体"/>
          <w:b/>
          <w:szCs w:val="28"/>
        </w:rPr>
      </w:pPr>
      <w:r>
        <w:rPr>
          <w:rFonts w:hint="eastAsia" w:ascii="宋体" w:hAnsi="宋体"/>
          <w:b/>
          <w:szCs w:val="28"/>
        </w:rPr>
        <w:t>2.技术内容说明</w:t>
      </w:r>
    </w:p>
    <w:p>
      <w:pPr>
        <w:autoSpaceDE w:val="0"/>
        <w:autoSpaceDN w:val="0"/>
        <w:adjustRightInd w:val="0"/>
        <w:ind w:firstLine="562"/>
        <w:jc w:val="left"/>
        <w:rPr>
          <w:rFonts w:ascii="宋体" w:hAnsi="宋体"/>
          <w:b/>
          <w:szCs w:val="28"/>
        </w:rPr>
      </w:pPr>
      <w:r>
        <w:rPr>
          <w:rFonts w:hint="eastAsia" w:ascii="宋体" w:hAnsi="宋体"/>
          <w:b/>
          <w:szCs w:val="28"/>
        </w:rPr>
        <w:t>2.1 范围</w:t>
      </w:r>
    </w:p>
    <w:p>
      <w:pPr>
        <w:pStyle w:val="16"/>
        <w:tabs>
          <w:tab w:val="left" w:pos="1275"/>
        </w:tabs>
        <w:spacing w:before="50" w:after="50"/>
        <w:ind w:firstLine="560"/>
        <w:rPr>
          <w:rFonts w:hAnsi="宋体" w:cs="宋体"/>
          <w:szCs w:val="21"/>
        </w:rPr>
      </w:pPr>
      <w:r>
        <w:rPr>
          <w:rFonts w:hint="eastAsia" w:hAnsi="宋体" w:cs="宋体"/>
          <w:szCs w:val="21"/>
        </w:rPr>
        <w:t>本文件规定了元宇宙内容风险评估的基本</w:t>
      </w:r>
      <w:r>
        <w:rPr>
          <w:rFonts w:hAnsi="宋体" w:cs="宋体"/>
          <w:szCs w:val="21"/>
        </w:rPr>
        <w:t>原则、</w:t>
      </w:r>
      <w:r>
        <w:rPr>
          <w:rFonts w:hint="eastAsia" w:hAnsi="宋体" w:cs="宋体"/>
          <w:szCs w:val="21"/>
        </w:rPr>
        <w:t>评估指标体系、评估方法、评估流程及</w:t>
      </w:r>
      <w:r>
        <w:rPr>
          <w:rFonts w:hAnsi="宋体" w:cs="宋体"/>
          <w:szCs w:val="21"/>
        </w:rPr>
        <w:t>结果</w:t>
      </w:r>
      <w:r>
        <w:rPr>
          <w:rFonts w:hint="eastAsia" w:hAnsi="宋体" w:cs="宋体"/>
          <w:szCs w:val="21"/>
        </w:rPr>
        <w:t>处理</w:t>
      </w:r>
      <w:r>
        <w:rPr>
          <w:rFonts w:hAnsi="宋体" w:cs="宋体"/>
          <w:szCs w:val="21"/>
        </w:rPr>
        <w:t>等要求</w:t>
      </w:r>
      <w:r>
        <w:rPr>
          <w:rFonts w:hint="eastAsia" w:hAnsi="宋体" w:cs="宋体"/>
          <w:szCs w:val="21"/>
        </w:rPr>
        <w:t>。</w:t>
      </w:r>
    </w:p>
    <w:p>
      <w:pPr>
        <w:pStyle w:val="16"/>
        <w:tabs>
          <w:tab w:val="left" w:pos="1275"/>
        </w:tabs>
        <w:spacing w:before="50" w:after="50"/>
        <w:ind w:firstLine="560"/>
        <w:rPr>
          <w:rFonts w:hAnsi="宋体" w:cs="宋体"/>
          <w:szCs w:val="21"/>
        </w:rPr>
      </w:pPr>
      <w:r>
        <w:rPr>
          <w:rFonts w:hint="eastAsia" w:hAnsi="宋体" w:cs="宋体"/>
          <w:szCs w:val="21"/>
        </w:rPr>
        <w:t>本文件适用于元宇宙内容风险评估工作的开展。</w:t>
      </w:r>
    </w:p>
    <w:p>
      <w:pPr>
        <w:pStyle w:val="16"/>
        <w:numPr>
          <w:ilvl w:val="1"/>
          <w:numId w:val="2"/>
        </w:numPr>
        <w:autoSpaceDE w:val="0"/>
        <w:autoSpaceDN w:val="0"/>
        <w:adjustRightInd w:val="0"/>
        <w:ind w:firstLineChars="0"/>
        <w:jc w:val="left"/>
        <w:rPr>
          <w:rFonts w:ascii="宋体" w:hAnsi="宋体"/>
          <w:b/>
          <w:szCs w:val="28"/>
        </w:rPr>
      </w:pPr>
      <w:r>
        <w:rPr>
          <w:rFonts w:hint="eastAsia" w:ascii="宋体" w:hAnsi="宋体"/>
          <w:b/>
          <w:szCs w:val="28"/>
        </w:rPr>
        <w:t xml:space="preserve"> 术语定义</w:t>
      </w:r>
    </w:p>
    <w:p>
      <w:pPr>
        <w:pStyle w:val="16"/>
        <w:tabs>
          <w:tab w:val="left" w:pos="1275"/>
        </w:tabs>
        <w:spacing w:before="50" w:after="50"/>
        <w:ind w:firstLine="560"/>
        <w:rPr>
          <w:rFonts w:hAnsi="宋体" w:cs="宋体"/>
          <w:szCs w:val="21"/>
        </w:rPr>
      </w:pPr>
      <w:r>
        <w:rPr>
          <w:rFonts w:hint="eastAsia" w:hAnsi="宋体" w:cs="宋体"/>
          <w:szCs w:val="21"/>
        </w:rPr>
        <w:t>本标准对标准文本</w:t>
      </w:r>
      <w:r>
        <w:rPr>
          <w:rFonts w:hint="eastAsia" w:hAnsi="黑体"/>
          <w:szCs w:val="21"/>
        </w:rPr>
        <w:t>涉及</w:t>
      </w:r>
      <w:r>
        <w:rPr>
          <w:rFonts w:hAnsi="黑体"/>
          <w:szCs w:val="21"/>
        </w:rPr>
        <w:t>的</w:t>
      </w:r>
      <w:r>
        <w:rPr>
          <w:rFonts w:hint="eastAsia" w:hAnsi="黑体"/>
          <w:szCs w:val="21"/>
        </w:rPr>
        <w:t>元宇宙、数智人、典型应用场景</w:t>
      </w:r>
      <w:r>
        <w:rPr>
          <w:rFonts w:hAnsi="黑体"/>
          <w:szCs w:val="21"/>
        </w:rPr>
        <w:t>、</w:t>
      </w:r>
      <w:r>
        <w:rPr>
          <w:rFonts w:hint="eastAsia" w:hAnsi="黑体"/>
          <w:szCs w:val="21"/>
        </w:rPr>
        <w:t>数字</w:t>
      </w:r>
      <w:r>
        <w:rPr>
          <w:rFonts w:hAnsi="黑体"/>
          <w:szCs w:val="21"/>
        </w:rPr>
        <w:t>资产</w:t>
      </w:r>
      <w:r>
        <w:rPr>
          <w:rFonts w:hAnsi="宋体" w:cs="宋体"/>
          <w:szCs w:val="21"/>
        </w:rPr>
        <w:t>、</w:t>
      </w:r>
      <w:r>
        <w:rPr>
          <w:rFonts w:hint="eastAsia" w:hAnsi="黑体"/>
          <w:szCs w:val="21"/>
        </w:rPr>
        <w:t>风险识别</w:t>
      </w:r>
      <w:r>
        <w:rPr>
          <w:rFonts w:hint="eastAsia" w:hAnsi="黑体"/>
        </w:rPr>
        <w:t>、风险分析、</w:t>
      </w:r>
      <w:r>
        <w:rPr>
          <w:rFonts w:hint="eastAsia"/>
        </w:rPr>
        <w:t>风险评估、评估机构</w:t>
      </w:r>
      <w:r>
        <w:rPr>
          <w:rFonts w:hint="eastAsia" w:hAnsi="宋体" w:cs="宋体"/>
          <w:szCs w:val="21"/>
        </w:rPr>
        <w:t>等术语做了明确定义。其中</w:t>
      </w:r>
      <w:r>
        <w:rPr>
          <w:rFonts w:hint="eastAsia" w:hAnsi="黑体"/>
          <w:szCs w:val="21"/>
        </w:rPr>
        <w:t>元宇宙、数智人、典型应用场景</w:t>
      </w:r>
      <w:r>
        <w:rPr>
          <w:rFonts w:hAnsi="黑体"/>
          <w:szCs w:val="21"/>
        </w:rPr>
        <w:t>、</w:t>
      </w:r>
      <w:r>
        <w:rPr>
          <w:rFonts w:hint="eastAsia" w:hAnsi="黑体"/>
          <w:szCs w:val="21"/>
        </w:rPr>
        <w:t>数字</w:t>
      </w:r>
      <w:r>
        <w:rPr>
          <w:rFonts w:hAnsi="黑体"/>
          <w:szCs w:val="21"/>
        </w:rPr>
        <w:t>资产</w:t>
      </w:r>
      <w:r>
        <w:rPr>
          <w:rFonts w:hint="eastAsia" w:hAnsi="黑体"/>
          <w:szCs w:val="21"/>
        </w:rPr>
        <w:t>为</w:t>
      </w:r>
      <w:r>
        <w:rPr>
          <w:rFonts w:hAnsi="黑体"/>
          <w:szCs w:val="21"/>
        </w:rPr>
        <w:t>首次定义。</w:t>
      </w:r>
    </w:p>
    <w:p>
      <w:pPr>
        <w:tabs>
          <w:tab w:val="left" w:pos="1275"/>
        </w:tabs>
        <w:ind w:firstLine="562"/>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3</w:t>
      </w:r>
      <w:r>
        <w:rPr>
          <w:rFonts w:hint="eastAsia" w:asciiTheme="minorEastAsia" w:hAnsiTheme="minorEastAsia" w:eastAsiaTheme="minorEastAsia"/>
          <w:b/>
        </w:rPr>
        <w:t xml:space="preserve"> 基本原则</w:t>
      </w:r>
    </w:p>
    <w:p>
      <w:pPr>
        <w:ind w:firstLine="560"/>
        <w:rPr>
          <w:rFonts w:ascii="宋体" w:hAnsi="宋体"/>
          <w:szCs w:val="21"/>
        </w:rPr>
      </w:pPr>
      <w:r>
        <w:rPr>
          <w:rFonts w:hint="eastAsia" w:ascii="宋体" w:hAnsi="宋体"/>
          <w:szCs w:val="21"/>
        </w:rPr>
        <w:t>对开展</w:t>
      </w:r>
      <w:r>
        <w:rPr>
          <w:rFonts w:hint="eastAsia" w:hAnsi="宋体" w:cs="宋体"/>
          <w:szCs w:val="21"/>
        </w:rPr>
        <w:t>元宇宙内容风险评估应遵循</w:t>
      </w:r>
      <w:r>
        <w:rPr>
          <w:rFonts w:hint="eastAsia" w:ascii="宋体" w:hAnsi="宋体"/>
          <w:szCs w:val="21"/>
        </w:rPr>
        <w:t>的合规性原则、科学性</w:t>
      </w:r>
      <w:r>
        <w:rPr>
          <w:rFonts w:ascii="宋体" w:hAnsi="宋体"/>
          <w:szCs w:val="21"/>
        </w:rPr>
        <w:t>、</w:t>
      </w:r>
      <w:r>
        <w:rPr>
          <w:rFonts w:hint="eastAsia" w:ascii="宋体" w:hAnsi="宋体"/>
          <w:szCs w:val="21"/>
        </w:rPr>
        <w:t>公开性原则、安全性原则、扩展性原则等进行了明确阐述。</w:t>
      </w:r>
    </w:p>
    <w:p>
      <w:pPr>
        <w:tabs>
          <w:tab w:val="left" w:pos="1275"/>
        </w:tabs>
        <w:ind w:firstLine="560" w:firstLineChars="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4</w:t>
      </w:r>
      <w:r>
        <w:rPr>
          <w:rFonts w:hint="eastAsia" w:asciiTheme="minorEastAsia" w:hAnsiTheme="minorEastAsia" w:eastAsiaTheme="minorEastAsia"/>
          <w:b/>
        </w:rPr>
        <w:t>评估指标体系</w:t>
      </w:r>
    </w:p>
    <w:p>
      <w:pPr>
        <w:ind w:firstLine="560"/>
        <w:rPr>
          <w:rFonts w:ascii="宋体" w:hAnsi="宋体"/>
          <w:szCs w:val="21"/>
        </w:rPr>
      </w:pPr>
      <w:r>
        <w:rPr>
          <w:rFonts w:hint="eastAsia" w:asciiTheme="minorEastAsia" w:hAnsiTheme="minorEastAsia" w:eastAsiaTheme="minorEastAsia"/>
        </w:rPr>
        <w:t>元宇宙</w:t>
      </w:r>
      <w:r>
        <w:rPr>
          <w:rFonts w:asciiTheme="minorEastAsia" w:hAnsiTheme="minorEastAsia" w:eastAsiaTheme="minorEastAsia"/>
        </w:rPr>
        <w:t>内容风险</w:t>
      </w:r>
      <w:r>
        <w:rPr>
          <w:rFonts w:hint="eastAsia" w:asciiTheme="minorEastAsia" w:hAnsiTheme="minorEastAsia" w:eastAsiaTheme="minorEastAsia"/>
        </w:rPr>
        <w:t>评估指标体系由一级指标、二级指标、</w:t>
      </w:r>
      <w:r>
        <w:rPr>
          <w:rFonts w:asciiTheme="minorEastAsia" w:hAnsiTheme="minorEastAsia" w:eastAsiaTheme="minorEastAsia"/>
        </w:rPr>
        <w:t>三级指标</w:t>
      </w:r>
      <w:r>
        <w:rPr>
          <w:rFonts w:hint="eastAsia" w:asciiTheme="minorEastAsia" w:hAnsiTheme="minorEastAsia" w:eastAsiaTheme="minorEastAsia"/>
        </w:rPr>
        <w:t>组成。一级指标包括</w:t>
      </w:r>
      <w:r>
        <w:rPr>
          <w:rFonts w:asciiTheme="minorEastAsia" w:hAnsiTheme="minorEastAsia" w:eastAsiaTheme="minorEastAsia"/>
        </w:rPr>
        <w:t>数智人风险</w:t>
      </w:r>
      <w:r>
        <w:rPr>
          <w:rFonts w:hint="eastAsia" w:asciiTheme="minorEastAsia" w:hAnsiTheme="minorEastAsia" w:eastAsiaTheme="minorEastAsia"/>
        </w:rPr>
        <w:t>、时空</w:t>
      </w:r>
      <w:r>
        <w:rPr>
          <w:rFonts w:asciiTheme="minorEastAsia" w:hAnsiTheme="minorEastAsia" w:eastAsiaTheme="minorEastAsia"/>
        </w:rPr>
        <w:t>风险</w:t>
      </w:r>
      <w:r>
        <w:rPr>
          <w:rFonts w:hint="eastAsia" w:asciiTheme="minorEastAsia" w:hAnsiTheme="minorEastAsia" w:eastAsiaTheme="minorEastAsia"/>
        </w:rPr>
        <w:t>、资产风险、传播内容风险、用户安全</w:t>
      </w:r>
      <w:r>
        <w:rPr>
          <w:rFonts w:asciiTheme="minorEastAsia" w:hAnsiTheme="minorEastAsia" w:eastAsiaTheme="minorEastAsia"/>
        </w:rPr>
        <w:t>风险</w:t>
      </w:r>
      <w:r>
        <w:rPr>
          <w:rFonts w:hint="eastAsia" w:asciiTheme="minorEastAsia" w:hAnsiTheme="minorEastAsia" w:eastAsiaTheme="minorEastAsia"/>
        </w:rPr>
        <w:t>等</w:t>
      </w:r>
      <w:r>
        <w:rPr>
          <w:rFonts w:asciiTheme="minorEastAsia" w:hAnsiTheme="minorEastAsia" w:eastAsiaTheme="minorEastAsia"/>
        </w:rPr>
        <w:t>5</w:t>
      </w:r>
      <w:r>
        <w:rPr>
          <w:rFonts w:hint="eastAsia" w:asciiTheme="minorEastAsia" w:hAnsiTheme="minorEastAsia" w:eastAsiaTheme="minorEastAsia"/>
        </w:rPr>
        <w:t>个一级</w:t>
      </w:r>
      <w:r>
        <w:rPr>
          <w:rFonts w:asciiTheme="minorEastAsia" w:hAnsiTheme="minorEastAsia" w:eastAsiaTheme="minorEastAsia"/>
        </w:rPr>
        <w:t>维度</w:t>
      </w:r>
      <w:r>
        <w:rPr>
          <w:rFonts w:hint="eastAsia" w:asciiTheme="minorEastAsia" w:hAnsiTheme="minorEastAsia" w:eastAsiaTheme="minorEastAsia"/>
        </w:rPr>
        <w:t>指标、18</w:t>
      </w:r>
      <w:r>
        <w:rPr>
          <w:rFonts w:hint="eastAsia" w:ascii="宋体" w:hAnsi="宋体"/>
          <w:szCs w:val="21"/>
        </w:rPr>
        <w:t>个二级指标要素及</w:t>
      </w:r>
      <w:r>
        <w:rPr>
          <w:rFonts w:ascii="宋体" w:hAnsi="宋体"/>
          <w:szCs w:val="21"/>
        </w:rPr>
        <w:t>59</w:t>
      </w:r>
      <w:r>
        <w:rPr>
          <w:rFonts w:hint="eastAsia" w:ascii="宋体" w:hAnsi="宋体"/>
          <w:szCs w:val="21"/>
        </w:rPr>
        <w:t>个</w:t>
      </w:r>
      <w:r>
        <w:rPr>
          <w:rFonts w:ascii="宋体" w:hAnsi="宋体"/>
          <w:szCs w:val="21"/>
        </w:rPr>
        <w:t>三级</w:t>
      </w:r>
      <w:r>
        <w:rPr>
          <w:rFonts w:hint="eastAsia" w:ascii="宋体" w:hAnsi="宋体"/>
          <w:szCs w:val="21"/>
        </w:rPr>
        <w:t>指标要素。</w:t>
      </w:r>
    </w:p>
    <w:p>
      <w:pPr>
        <w:spacing w:before="120" w:beforeLines="50" w:after="120" w:afterLines="50"/>
        <w:ind w:firstLine="560"/>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.1 数智人风险指标，</w:t>
      </w:r>
      <w:r>
        <w:rPr>
          <w:rFonts w:ascii="宋体" w:hAnsi="宋体"/>
          <w:szCs w:val="21"/>
        </w:rPr>
        <w:t>包括以下二级及三级指标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55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bottom"/>
          </w:tcPr>
          <w:p>
            <w:pPr>
              <w:ind w:firstLine="0" w:firstLineChars="0"/>
              <w:jc w:val="center"/>
              <w:rPr>
                <w:rFonts w:ascii="等线" w:hAnsi="等线" w:eastAsia="等线"/>
                <w:b/>
                <w:sz w:val="21"/>
                <w:szCs w:val="22"/>
              </w:rPr>
            </w:pPr>
            <w:r>
              <w:rPr>
                <w:rFonts w:hint="eastAsia" w:ascii="等线" w:hAnsi="等线" w:eastAsia="等线"/>
                <w:b/>
                <w:sz w:val="21"/>
                <w:szCs w:val="22"/>
              </w:rPr>
              <w:t>编号</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firstLine="0" w:firstLineChars="0"/>
              <w:jc w:val="center"/>
              <w:rPr>
                <w:rFonts w:ascii="等线" w:hAnsi="等线" w:eastAsia="等线"/>
                <w:b/>
                <w:sz w:val="21"/>
                <w:szCs w:val="22"/>
              </w:rPr>
            </w:pPr>
            <w:r>
              <w:rPr>
                <w:rFonts w:hint="eastAsia" w:ascii="等线" w:hAnsi="等线" w:eastAsia="等线"/>
                <w:b/>
                <w:sz w:val="21"/>
                <w:szCs w:val="22"/>
              </w:rPr>
              <w:t>二级指标</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1" w:leftChars="-40" w:hanging="111" w:hangingChars="53"/>
              <w:jc w:val="center"/>
              <w:rPr>
                <w:rFonts w:ascii="等线" w:hAnsi="等线" w:eastAsia="等线"/>
                <w:b/>
                <w:sz w:val="21"/>
                <w:szCs w:val="22"/>
              </w:rPr>
            </w:pPr>
            <w:r>
              <w:rPr>
                <w:rFonts w:hint="eastAsia" w:ascii="等线" w:hAnsi="等线" w:eastAsia="等线"/>
                <w:b/>
                <w:sz w:val="21"/>
                <w:szCs w:val="22"/>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sz w:val="21"/>
                <w:szCs w:val="22"/>
              </w:rPr>
            </w:pPr>
            <w:r>
              <w:rPr>
                <w:rFonts w:hint="eastAsia" w:ascii="宋体" w:hAnsi="宋体"/>
                <w:sz w:val="21"/>
                <w:szCs w:val="22"/>
              </w:rPr>
              <w:t>1</w:t>
            </w:r>
          </w:p>
        </w:tc>
        <w:tc>
          <w:tcPr>
            <w:tcW w:w="1559" w:type="dxa"/>
            <w:vMerge w:val="restart"/>
            <w:tcBorders>
              <w:top w:val="single" w:color="auto" w:sz="4" w:space="0"/>
              <w:left w:val="single" w:color="auto" w:sz="4" w:space="0"/>
              <w:right w:val="single" w:color="auto" w:sz="4" w:space="0"/>
            </w:tcBorders>
            <w:shd w:val="clear" w:color="auto" w:fill="auto"/>
            <w:noWrap/>
            <w:vAlign w:val="center"/>
          </w:tcPr>
          <w:p>
            <w:pPr>
              <w:ind w:firstLine="0" w:firstLineChars="0"/>
              <w:jc w:val="center"/>
              <w:rPr>
                <w:rFonts w:ascii="宋体" w:hAnsi="宋体"/>
                <w:sz w:val="21"/>
                <w:szCs w:val="22"/>
              </w:rPr>
            </w:pPr>
            <w:r>
              <w:rPr>
                <w:rFonts w:hint="eastAsia" w:ascii="宋体" w:hAnsi="宋体"/>
                <w:sz w:val="21"/>
                <w:szCs w:val="22"/>
              </w:rPr>
              <w:t>人物信息</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 w:leftChars="-40" w:hanging="111" w:hangingChars="53"/>
              <w:jc w:val="center"/>
              <w:rPr>
                <w:rFonts w:ascii="宋体" w:hAnsi="宋体"/>
                <w:sz w:val="21"/>
                <w:szCs w:val="22"/>
              </w:rPr>
            </w:pPr>
            <w:r>
              <w:rPr>
                <w:rFonts w:hint="eastAsia" w:ascii="宋体" w:hAnsi="宋体"/>
                <w:sz w:val="21"/>
                <w:szCs w:val="22"/>
              </w:rPr>
              <w:t>身份设置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sz w:val="21"/>
                <w:szCs w:val="22"/>
              </w:rPr>
            </w:pPr>
            <w:r>
              <w:rPr>
                <w:rFonts w:hint="eastAsia" w:ascii="宋体" w:hAnsi="宋体"/>
                <w:sz w:val="21"/>
                <w:szCs w:val="22"/>
              </w:rPr>
              <w:t>2</w:t>
            </w:r>
          </w:p>
        </w:tc>
        <w:tc>
          <w:tcPr>
            <w:tcW w:w="1559" w:type="dxa"/>
            <w:vMerge w:val="continue"/>
            <w:tcBorders>
              <w:left w:val="single" w:color="auto" w:sz="4" w:space="0"/>
              <w:right w:val="single" w:color="auto" w:sz="4" w:space="0"/>
            </w:tcBorders>
            <w:shd w:val="clear" w:color="auto" w:fill="auto"/>
            <w:noWrap/>
          </w:tcPr>
          <w:p>
            <w:pPr>
              <w:ind w:firstLine="0" w:firstLineChars="0"/>
              <w:rPr>
                <w:rFonts w:ascii="宋体" w:hAnsi="宋体"/>
                <w:sz w:val="21"/>
                <w:szCs w:val="22"/>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 w:leftChars="-40" w:hanging="111" w:hangingChars="53"/>
              <w:jc w:val="center"/>
              <w:rPr>
                <w:rFonts w:ascii="宋体" w:hAnsi="宋体"/>
                <w:sz w:val="21"/>
                <w:szCs w:val="22"/>
              </w:rPr>
            </w:pPr>
            <w:r>
              <w:rPr>
                <w:rFonts w:hint="eastAsia" w:ascii="宋体" w:hAnsi="宋体"/>
                <w:sz w:val="21"/>
                <w:szCs w:val="22"/>
              </w:rPr>
              <w:t>人物名称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sz w:val="21"/>
                <w:szCs w:val="22"/>
              </w:rPr>
            </w:pPr>
            <w:r>
              <w:rPr>
                <w:rFonts w:ascii="宋体" w:hAnsi="宋体"/>
                <w:sz w:val="21"/>
                <w:szCs w:val="22"/>
              </w:rPr>
              <w:t>4</w:t>
            </w:r>
          </w:p>
        </w:tc>
        <w:tc>
          <w:tcPr>
            <w:tcW w:w="1559" w:type="dxa"/>
            <w:vMerge w:val="restart"/>
            <w:tcBorders>
              <w:top w:val="single" w:color="auto" w:sz="4" w:space="0"/>
              <w:left w:val="single" w:color="auto" w:sz="4" w:space="0"/>
              <w:right w:val="single" w:color="auto" w:sz="4" w:space="0"/>
            </w:tcBorders>
            <w:shd w:val="clear" w:color="auto" w:fill="auto"/>
            <w:noWrap/>
            <w:vAlign w:val="center"/>
          </w:tcPr>
          <w:p>
            <w:pPr>
              <w:ind w:firstLine="0" w:firstLineChars="0"/>
              <w:jc w:val="center"/>
              <w:rPr>
                <w:rFonts w:ascii="宋体" w:hAnsi="宋体"/>
                <w:sz w:val="21"/>
                <w:szCs w:val="22"/>
              </w:rPr>
            </w:pPr>
            <w:r>
              <w:rPr>
                <w:rFonts w:hint="eastAsia" w:ascii="宋体" w:hAnsi="宋体"/>
                <w:sz w:val="21"/>
                <w:szCs w:val="22"/>
              </w:rPr>
              <w:t>人物体征</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 w:leftChars="-40" w:hanging="111" w:hangingChars="53"/>
              <w:jc w:val="center"/>
              <w:rPr>
                <w:rFonts w:ascii="宋体" w:hAnsi="宋体"/>
                <w:sz w:val="21"/>
                <w:szCs w:val="22"/>
              </w:rPr>
            </w:pPr>
            <w:r>
              <w:rPr>
                <w:rFonts w:hint="eastAsia" w:ascii="宋体" w:hAnsi="宋体"/>
                <w:sz w:val="21"/>
                <w:szCs w:val="22"/>
              </w:rPr>
              <w:t>外貌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sz w:val="21"/>
                <w:szCs w:val="22"/>
              </w:rPr>
            </w:pPr>
            <w:r>
              <w:rPr>
                <w:rFonts w:hint="eastAsia" w:ascii="宋体" w:hAnsi="宋体"/>
                <w:sz w:val="21"/>
                <w:szCs w:val="22"/>
              </w:rPr>
              <w:t>5</w:t>
            </w:r>
          </w:p>
        </w:tc>
        <w:tc>
          <w:tcPr>
            <w:tcW w:w="1559" w:type="dxa"/>
            <w:vMerge w:val="continue"/>
            <w:tcBorders>
              <w:left w:val="single" w:color="auto" w:sz="4" w:space="0"/>
              <w:right w:val="single" w:color="auto" w:sz="4" w:space="0"/>
            </w:tcBorders>
            <w:shd w:val="clear" w:color="auto" w:fill="auto"/>
            <w:noWrap/>
          </w:tcPr>
          <w:p>
            <w:pPr>
              <w:ind w:firstLine="0" w:firstLineChars="0"/>
              <w:jc w:val="center"/>
              <w:rPr>
                <w:rFonts w:ascii="宋体" w:hAnsi="宋体"/>
                <w:sz w:val="21"/>
                <w:szCs w:val="22"/>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 w:leftChars="-40" w:hanging="111" w:hangingChars="53"/>
              <w:jc w:val="center"/>
              <w:rPr>
                <w:rFonts w:ascii="宋体" w:hAnsi="宋体"/>
                <w:sz w:val="21"/>
                <w:szCs w:val="22"/>
              </w:rPr>
            </w:pPr>
            <w:r>
              <w:rPr>
                <w:rFonts w:hint="eastAsia" w:ascii="宋体" w:hAnsi="宋体"/>
                <w:sz w:val="21"/>
                <w:szCs w:val="22"/>
              </w:rPr>
              <w:t>衣着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sz w:val="21"/>
                <w:szCs w:val="22"/>
              </w:rPr>
            </w:pPr>
            <w:r>
              <w:rPr>
                <w:rFonts w:hint="eastAsia" w:ascii="宋体" w:hAnsi="宋体"/>
                <w:sz w:val="21"/>
                <w:szCs w:val="22"/>
              </w:rPr>
              <w:t>6</w:t>
            </w:r>
          </w:p>
        </w:tc>
        <w:tc>
          <w:tcPr>
            <w:tcW w:w="1559" w:type="dxa"/>
            <w:vMerge w:val="continue"/>
            <w:tcBorders>
              <w:left w:val="single" w:color="auto" w:sz="4" w:space="0"/>
              <w:bottom w:val="single" w:color="auto" w:sz="4" w:space="0"/>
              <w:right w:val="single" w:color="auto" w:sz="4" w:space="0"/>
            </w:tcBorders>
            <w:shd w:val="clear" w:color="auto" w:fill="auto"/>
            <w:noWrap/>
          </w:tcPr>
          <w:p>
            <w:pPr>
              <w:ind w:firstLine="0" w:firstLineChars="0"/>
              <w:jc w:val="center"/>
              <w:rPr>
                <w:rFonts w:ascii="宋体" w:hAnsi="宋体"/>
                <w:sz w:val="21"/>
                <w:szCs w:val="22"/>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 w:leftChars="-40" w:hanging="111" w:hangingChars="53"/>
              <w:jc w:val="center"/>
              <w:rPr>
                <w:rFonts w:ascii="宋体" w:hAnsi="宋体"/>
                <w:sz w:val="21"/>
                <w:szCs w:val="22"/>
              </w:rPr>
            </w:pPr>
            <w:r>
              <w:rPr>
                <w:rFonts w:hint="eastAsia" w:ascii="宋体" w:hAnsi="宋体"/>
                <w:sz w:val="21"/>
                <w:szCs w:val="22"/>
              </w:rPr>
              <w:t>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sz w:val="21"/>
                <w:szCs w:val="22"/>
              </w:rPr>
            </w:pPr>
            <w:r>
              <w:rPr>
                <w:rFonts w:ascii="宋体" w:hAnsi="宋体"/>
                <w:sz w:val="21"/>
                <w:szCs w:val="22"/>
              </w:rPr>
              <w:t>7</w:t>
            </w:r>
          </w:p>
        </w:tc>
        <w:tc>
          <w:tcPr>
            <w:tcW w:w="1559" w:type="dxa"/>
            <w:vMerge w:val="restart"/>
            <w:tcBorders>
              <w:top w:val="single" w:color="auto" w:sz="4" w:space="0"/>
              <w:left w:val="single" w:color="auto" w:sz="4" w:space="0"/>
              <w:right w:val="single" w:color="auto" w:sz="4" w:space="0"/>
            </w:tcBorders>
            <w:shd w:val="clear" w:color="auto" w:fill="auto"/>
            <w:noWrap/>
            <w:vAlign w:val="center"/>
          </w:tcPr>
          <w:p>
            <w:pPr>
              <w:ind w:firstLine="0" w:firstLineChars="0"/>
              <w:jc w:val="center"/>
              <w:rPr>
                <w:rFonts w:ascii="宋体" w:hAnsi="宋体"/>
                <w:sz w:val="21"/>
                <w:szCs w:val="22"/>
              </w:rPr>
            </w:pPr>
            <w:r>
              <w:rPr>
                <w:rFonts w:hint="eastAsia" w:ascii="宋体" w:hAnsi="宋体"/>
                <w:sz w:val="21"/>
                <w:szCs w:val="22"/>
              </w:rPr>
              <w:t>人物权益</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 w:leftChars="-40" w:hanging="111" w:hangingChars="53"/>
              <w:jc w:val="center"/>
              <w:rPr>
                <w:rFonts w:ascii="宋体" w:hAnsi="宋体"/>
                <w:sz w:val="21"/>
                <w:szCs w:val="22"/>
              </w:rPr>
            </w:pPr>
            <w:r>
              <w:rPr>
                <w:rFonts w:hint="eastAsia" w:ascii="宋体" w:hAnsi="宋体"/>
                <w:sz w:val="21"/>
                <w:szCs w:val="22"/>
              </w:rPr>
              <w:t>身份权益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sz w:val="21"/>
                <w:szCs w:val="22"/>
              </w:rPr>
            </w:pPr>
            <w:r>
              <w:rPr>
                <w:rFonts w:ascii="宋体" w:hAnsi="宋体"/>
                <w:sz w:val="21"/>
                <w:szCs w:val="22"/>
              </w:rPr>
              <w:t>8</w:t>
            </w:r>
          </w:p>
        </w:tc>
        <w:tc>
          <w:tcPr>
            <w:tcW w:w="1559" w:type="dxa"/>
            <w:vMerge w:val="continue"/>
            <w:tcBorders>
              <w:left w:val="single" w:color="auto" w:sz="4" w:space="0"/>
              <w:right w:val="single" w:color="auto" w:sz="4" w:space="0"/>
            </w:tcBorders>
            <w:shd w:val="clear" w:color="auto" w:fill="auto"/>
            <w:noWrap/>
          </w:tcPr>
          <w:p>
            <w:pPr>
              <w:ind w:firstLine="0" w:firstLineChars="0"/>
              <w:jc w:val="center"/>
              <w:rPr>
                <w:rFonts w:ascii="宋体" w:hAnsi="宋体"/>
                <w:sz w:val="21"/>
                <w:szCs w:val="22"/>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 w:leftChars="-40" w:hanging="111" w:hangingChars="53"/>
              <w:jc w:val="center"/>
              <w:rPr>
                <w:rFonts w:ascii="宋体" w:hAnsi="宋体"/>
                <w:sz w:val="21"/>
                <w:szCs w:val="22"/>
              </w:rPr>
            </w:pPr>
            <w:r>
              <w:rPr>
                <w:rFonts w:hint="eastAsia" w:ascii="宋体" w:hAnsi="宋体"/>
                <w:sz w:val="21"/>
                <w:szCs w:val="22"/>
              </w:rPr>
              <w:t>商业</w:t>
            </w:r>
            <w:r>
              <w:rPr>
                <w:rFonts w:ascii="宋体" w:hAnsi="宋体"/>
                <w:sz w:val="21"/>
                <w:szCs w:val="22"/>
              </w:rPr>
              <w:t>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sz w:val="21"/>
                <w:szCs w:val="22"/>
              </w:rPr>
            </w:pPr>
            <w:r>
              <w:rPr>
                <w:rFonts w:hint="eastAsia" w:ascii="宋体" w:hAnsi="宋体"/>
                <w:sz w:val="21"/>
                <w:szCs w:val="22"/>
              </w:rPr>
              <w:t>9</w:t>
            </w:r>
          </w:p>
        </w:tc>
        <w:tc>
          <w:tcPr>
            <w:tcW w:w="1559" w:type="dxa"/>
            <w:vMerge w:val="continue"/>
            <w:tcBorders>
              <w:left w:val="single" w:color="auto" w:sz="4" w:space="0"/>
              <w:bottom w:val="single" w:color="auto" w:sz="4" w:space="0"/>
              <w:right w:val="single" w:color="auto" w:sz="4" w:space="0"/>
            </w:tcBorders>
            <w:shd w:val="clear" w:color="auto" w:fill="auto"/>
            <w:noWrap/>
          </w:tcPr>
          <w:p>
            <w:pPr>
              <w:ind w:firstLine="0" w:firstLineChars="0"/>
              <w:jc w:val="center"/>
              <w:rPr>
                <w:rFonts w:ascii="宋体" w:hAnsi="宋体"/>
                <w:sz w:val="21"/>
                <w:szCs w:val="22"/>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 w:leftChars="-40" w:hanging="111" w:hangingChars="53"/>
              <w:jc w:val="center"/>
              <w:rPr>
                <w:rFonts w:ascii="宋体" w:hAnsi="宋体"/>
                <w:sz w:val="21"/>
                <w:szCs w:val="22"/>
              </w:rPr>
            </w:pPr>
            <w:r>
              <w:rPr>
                <w:rFonts w:hint="eastAsia" w:ascii="宋体" w:hAnsi="宋体"/>
                <w:sz w:val="21"/>
                <w:szCs w:val="22"/>
              </w:rPr>
              <w:t>用户隐私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sz w:val="21"/>
                <w:szCs w:val="22"/>
              </w:rPr>
            </w:pPr>
            <w:r>
              <w:rPr>
                <w:rFonts w:hint="eastAsia" w:ascii="宋体" w:hAnsi="宋体"/>
                <w:sz w:val="21"/>
                <w:szCs w:val="22"/>
              </w:rPr>
              <w:t>10</w:t>
            </w:r>
          </w:p>
        </w:tc>
        <w:tc>
          <w:tcPr>
            <w:tcW w:w="1559" w:type="dxa"/>
            <w:vMerge w:val="restart"/>
            <w:tcBorders>
              <w:top w:val="single" w:color="auto" w:sz="4" w:space="0"/>
              <w:left w:val="single" w:color="auto" w:sz="4" w:space="0"/>
              <w:right w:val="single" w:color="auto" w:sz="4" w:space="0"/>
            </w:tcBorders>
            <w:shd w:val="clear" w:color="auto" w:fill="auto"/>
            <w:noWrap/>
            <w:vAlign w:val="center"/>
          </w:tcPr>
          <w:p>
            <w:pPr>
              <w:ind w:firstLine="0" w:firstLineChars="0"/>
              <w:jc w:val="center"/>
              <w:rPr>
                <w:rFonts w:ascii="宋体" w:hAnsi="宋体"/>
                <w:sz w:val="21"/>
                <w:szCs w:val="22"/>
              </w:rPr>
            </w:pPr>
            <w:r>
              <w:rPr>
                <w:rFonts w:hint="eastAsia" w:ascii="宋体" w:hAnsi="宋体"/>
                <w:sz w:val="21"/>
                <w:szCs w:val="22"/>
              </w:rPr>
              <w:t>人物行为</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 w:leftChars="-40" w:hanging="111" w:hangingChars="53"/>
              <w:jc w:val="center"/>
              <w:rPr>
                <w:rFonts w:ascii="宋体" w:hAnsi="宋体"/>
                <w:sz w:val="21"/>
                <w:szCs w:val="22"/>
              </w:rPr>
            </w:pPr>
            <w:r>
              <w:rPr>
                <w:rFonts w:hint="eastAsia" w:ascii="宋体" w:hAnsi="宋体"/>
                <w:sz w:val="21"/>
                <w:szCs w:val="22"/>
              </w:rPr>
              <w:t>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sz w:val="21"/>
                <w:szCs w:val="22"/>
              </w:rPr>
            </w:pPr>
            <w:r>
              <w:rPr>
                <w:rFonts w:hint="eastAsia" w:ascii="宋体" w:hAnsi="宋体"/>
                <w:sz w:val="21"/>
                <w:szCs w:val="22"/>
              </w:rPr>
              <w:t>11</w:t>
            </w:r>
          </w:p>
        </w:tc>
        <w:tc>
          <w:tcPr>
            <w:tcW w:w="1559" w:type="dxa"/>
            <w:vMerge w:val="continue"/>
            <w:tcBorders>
              <w:left w:val="single" w:color="auto" w:sz="4" w:space="0"/>
              <w:bottom w:val="single" w:color="auto" w:sz="4" w:space="0"/>
              <w:right w:val="single" w:color="auto" w:sz="4" w:space="0"/>
            </w:tcBorders>
            <w:shd w:val="clear" w:color="auto" w:fill="auto"/>
            <w:noWrap/>
          </w:tcPr>
          <w:p>
            <w:pPr>
              <w:ind w:firstLine="420"/>
              <w:rPr>
                <w:rFonts w:ascii="宋体" w:hAnsi="宋体"/>
                <w:sz w:val="21"/>
                <w:szCs w:val="22"/>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 w:leftChars="-40" w:hanging="111" w:hangingChars="53"/>
              <w:jc w:val="center"/>
              <w:rPr>
                <w:rFonts w:ascii="宋体" w:hAnsi="宋体"/>
                <w:sz w:val="21"/>
                <w:szCs w:val="22"/>
              </w:rPr>
            </w:pPr>
            <w:r>
              <w:rPr>
                <w:rFonts w:hint="eastAsia" w:ascii="宋体" w:hAnsi="宋体"/>
                <w:sz w:val="21"/>
                <w:szCs w:val="22"/>
              </w:rPr>
              <w:t>动作</w:t>
            </w:r>
          </w:p>
        </w:tc>
      </w:tr>
    </w:tbl>
    <w:p>
      <w:pPr>
        <w:spacing w:before="120" w:beforeLines="50" w:after="120" w:afterLines="50"/>
        <w:ind w:firstLine="560"/>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 xml:space="preserve"> 时空风险，</w:t>
      </w:r>
      <w:r>
        <w:rPr>
          <w:rFonts w:ascii="宋体" w:hAnsi="宋体"/>
          <w:szCs w:val="21"/>
        </w:rPr>
        <w:t>包括以下二级及三级指标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2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1129" w:type="dxa"/>
            <w:shd w:val="clear" w:color="auto" w:fill="auto"/>
            <w:vAlign w:val="bottom"/>
          </w:tcPr>
          <w:p>
            <w:pPr>
              <w:ind w:firstLine="0" w:firstLineChars="0"/>
              <w:jc w:val="center"/>
              <w:rPr>
                <w:rFonts w:ascii="等线" w:hAnsi="等线" w:eastAsia="等线"/>
                <w:b/>
                <w:sz w:val="21"/>
                <w:szCs w:val="22"/>
              </w:rPr>
            </w:pPr>
            <w:r>
              <w:rPr>
                <w:rFonts w:hint="eastAsia" w:ascii="等线" w:hAnsi="等线" w:eastAsia="等线"/>
                <w:b/>
                <w:sz w:val="21"/>
                <w:szCs w:val="22"/>
              </w:rPr>
              <w:t>编号</w:t>
            </w:r>
          </w:p>
        </w:tc>
        <w:tc>
          <w:tcPr>
            <w:tcW w:w="1428" w:type="dxa"/>
            <w:shd w:val="clear" w:color="auto" w:fill="auto"/>
            <w:noWrap/>
            <w:vAlign w:val="bottom"/>
          </w:tcPr>
          <w:p>
            <w:pPr>
              <w:ind w:firstLine="27" w:firstLineChars="13"/>
              <w:jc w:val="center"/>
              <w:rPr>
                <w:rFonts w:ascii="等线" w:hAnsi="等线" w:eastAsia="等线"/>
                <w:b/>
                <w:sz w:val="21"/>
                <w:szCs w:val="22"/>
              </w:rPr>
            </w:pPr>
            <w:r>
              <w:rPr>
                <w:rFonts w:hint="eastAsia" w:ascii="等线" w:hAnsi="等线" w:eastAsia="等线"/>
                <w:b/>
                <w:sz w:val="21"/>
                <w:szCs w:val="22"/>
              </w:rPr>
              <w:t>二级指标</w:t>
            </w:r>
          </w:p>
        </w:tc>
        <w:tc>
          <w:tcPr>
            <w:tcW w:w="1974" w:type="dxa"/>
            <w:shd w:val="clear" w:color="auto" w:fill="auto"/>
            <w:vAlign w:val="bottom"/>
          </w:tcPr>
          <w:p>
            <w:pPr>
              <w:ind w:firstLine="17" w:firstLineChars="8"/>
              <w:jc w:val="center"/>
              <w:rPr>
                <w:rFonts w:ascii="等线" w:hAnsi="等线" w:eastAsia="等线"/>
                <w:b/>
                <w:sz w:val="21"/>
                <w:szCs w:val="22"/>
              </w:rPr>
            </w:pPr>
            <w:r>
              <w:rPr>
                <w:rFonts w:hint="eastAsia" w:ascii="等线" w:hAnsi="等线" w:eastAsia="等线"/>
                <w:b/>
                <w:sz w:val="21"/>
                <w:szCs w:val="22"/>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0" w:firstLineChars="0"/>
              <w:jc w:val="center"/>
              <w:rPr>
                <w:rFonts w:ascii="宋体" w:hAnsi="宋体"/>
                <w:sz w:val="21"/>
                <w:szCs w:val="22"/>
              </w:rPr>
            </w:pPr>
            <w:r>
              <w:rPr>
                <w:rFonts w:hint="eastAsia" w:ascii="宋体" w:hAnsi="宋体"/>
                <w:sz w:val="21"/>
                <w:szCs w:val="22"/>
              </w:rPr>
              <w:t>1</w:t>
            </w:r>
          </w:p>
        </w:tc>
        <w:tc>
          <w:tcPr>
            <w:tcW w:w="1428" w:type="dxa"/>
            <w:vMerge w:val="restart"/>
            <w:shd w:val="clear" w:color="auto" w:fill="auto"/>
            <w:noWrap/>
            <w:vAlign w:val="center"/>
          </w:tcPr>
          <w:p>
            <w:pPr>
              <w:ind w:firstLine="27" w:firstLineChars="13"/>
              <w:jc w:val="center"/>
              <w:rPr>
                <w:rFonts w:ascii="等线" w:hAnsi="等线" w:eastAsia="等线"/>
                <w:sz w:val="21"/>
                <w:szCs w:val="22"/>
              </w:rPr>
            </w:pPr>
            <w:r>
              <w:rPr>
                <w:rFonts w:hint="eastAsia" w:ascii="等线" w:hAnsi="等线" w:eastAsia="等线"/>
                <w:sz w:val="21"/>
                <w:szCs w:val="22"/>
              </w:rPr>
              <w:t>时空主题</w:t>
            </w:r>
          </w:p>
        </w:tc>
        <w:tc>
          <w:tcPr>
            <w:tcW w:w="1974" w:type="dxa"/>
            <w:shd w:val="clear" w:color="auto" w:fill="auto"/>
            <w:vAlign w:val="center"/>
          </w:tcPr>
          <w:p>
            <w:pPr>
              <w:ind w:firstLine="16" w:firstLineChars="8"/>
              <w:jc w:val="center"/>
              <w:rPr>
                <w:rFonts w:ascii="宋体" w:hAnsi="宋体"/>
                <w:sz w:val="21"/>
                <w:szCs w:val="22"/>
              </w:rPr>
            </w:pPr>
            <w:r>
              <w:rPr>
                <w:rFonts w:hint="eastAsia" w:ascii="宋体" w:hAnsi="宋体"/>
                <w:sz w:val="21"/>
                <w:szCs w:val="22"/>
              </w:rPr>
              <w:t>主题主线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0" w:firstLineChars="0"/>
              <w:jc w:val="center"/>
              <w:rPr>
                <w:rFonts w:ascii="宋体" w:hAnsi="宋体"/>
                <w:sz w:val="21"/>
                <w:szCs w:val="22"/>
              </w:rPr>
            </w:pPr>
            <w:r>
              <w:rPr>
                <w:rFonts w:hint="eastAsia" w:ascii="宋体" w:hAnsi="宋体"/>
                <w:sz w:val="21"/>
                <w:szCs w:val="22"/>
              </w:rPr>
              <w:t>2</w:t>
            </w:r>
          </w:p>
        </w:tc>
        <w:tc>
          <w:tcPr>
            <w:tcW w:w="1428" w:type="dxa"/>
            <w:vMerge w:val="continue"/>
            <w:shd w:val="clear" w:color="auto" w:fill="auto"/>
            <w:vAlign w:val="center"/>
          </w:tcPr>
          <w:p>
            <w:pPr>
              <w:ind w:firstLine="27" w:firstLineChars="13"/>
              <w:jc w:val="center"/>
              <w:rPr>
                <w:rFonts w:ascii="等线" w:hAnsi="等线" w:eastAsia="等线"/>
                <w:sz w:val="21"/>
                <w:szCs w:val="22"/>
              </w:rPr>
            </w:pPr>
          </w:p>
        </w:tc>
        <w:tc>
          <w:tcPr>
            <w:tcW w:w="1974" w:type="dxa"/>
            <w:shd w:val="clear" w:color="auto" w:fill="auto"/>
            <w:noWrap/>
            <w:vAlign w:val="center"/>
          </w:tcPr>
          <w:p>
            <w:pPr>
              <w:ind w:firstLine="16" w:firstLineChars="8"/>
              <w:jc w:val="center"/>
              <w:rPr>
                <w:rFonts w:ascii="宋体" w:hAnsi="宋体"/>
                <w:sz w:val="21"/>
                <w:szCs w:val="22"/>
              </w:rPr>
            </w:pPr>
            <w:r>
              <w:rPr>
                <w:rFonts w:hint="eastAsia" w:ascii="宋体" w:hAnsi="宋体"/>
                <w:sz w:val="21"/>
                <w:szCs w:val="22"/>
              </w:rPr>
              <w:t>主题指引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0" w:firstLineChars="0"/>
              <w:jc w:val="center"/>
              <w:rPr>
                <w:rFonts w:ascii="宋体" w:hAnsi="宋体"/>
                <w:sz w:val="21"/>
                <w:szCs w:val="22"/>
              </w:rPr>
            </w:pPr>
            <w:r>
              <w:rPr>
                <w:rFonts w:ascii="宋体" w:hAnsi="宋体"/>
                <w:sz w:val="21"/>
                <w:szCs w:val="22"/>
              </w:rPr>
              <w:t>3</w:t>
            </w:r>
          </w:p>
        </w:tc>
        <w:tc>
          <w:tcPr>
            <w:tcW w:w="1428" w:type="dxa"/>
            <w:vMerge w:val="restart"/>
            <w:shd w:val="clear" w:color="auto" w:fill="auto"/>
            <w:noWrap/>
            <w:vAlign w:val="center"/>
          </w:tcPr>
          <w:p>
            <w:pPr>
              <w:ind w:firstLine="27" w:firstLineChars="13"/>
              <w:jc w:val="center"/>
              <w:rPr>
                <w:rFonts w:ascii="等线" w:hAnsi="等线" w:eastAsia="等线"/>
                <w:sz w:val="21"/>
                <w:szCs w:val="22"/>
              </w:rPr>
            </w:pPr>
            <w:r>
              <w:rPr>
                <w:rFonts w:hint="eastAsia" w:ascii="等线" w:hAnsi="等线" w:eastAsia="等线"/>
                <w:sz w:val="21"/>
                <w:szCs w:val="22"/>
              </w:rPr>
              <w:t>时空元素</w:t>
            </w:r>
          </w:p>
        </w:tc>
        <w:tc>
          <w:tcPr>
            <w:tcW w:w="1974" w:type="dxa"/>
            <w:shd w:val="clear" w:color="auto" w:fill="auto"/>
            <w:noWrap/>
            <w:vAlign w:val="center"/>
          </w:tcPr>
          <w:p>
            <w:pPr>
              <w:ind w:firstLine="16" w:firstLineChars="8"/>
              <w:jc w:val="center"/>
              <w:rPr>
                <w:rFonts w:ascii="宋体" w:hAnsi="宋体"/>
                <w:sz w:val="21"/>
                <w:szCs w:val="22"/>
              </w:rPr>
            </w:pPr>
            <w:r>
              <w:rPr>
                <w:rFonts w:hint="eastAsia" w:ascii="宋体" w:hAnsi="宋体"/>
                <w:sz w:val="21"/>
                <w:szCs w:val="22"/>
              </w:rPr>
              <w:t>场景复制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0" w:firstLineChars="0"/>
              <w:jc w:val="center"/>
              <w:rPr>
                <w:rFonts w:ascii="宋体" w:hAnsi="宋体"/>
                <w:sz w:val="21"/>
                <w:szCs w:val="22"/>
              </w:rPr>
            </w:pPr>
            <w:r>
              <w:rPr>
                <w:rFonts w:hint="eastAsia" w:ascii="宋体" w:hAnsi="宋体"/>
                <w:sz w:val="21"/>
                <w:szCs w:val="22"/>
              </w:rPr>
              <w:t>4</w:t>
            </w:r>
          </w:p>
        </w:tc>
        <w:tc>
          <w:tcPr>
            <w:tcW w:w="1428" w:type="dxa"/>
            <w:vMerge w:val="continue"/>
            <w:shd w:val="clear" w:color="auto" w:fill="auto"/>
            <w:vAlign w:val="center"/>
          </w:tcPr>
          <w:p>
            <w:pPr>
              <w:ind w:firstLine="27" w:firstLineChars="13"/>
              <w:jc w:val="center"/>
              <w:rPr>
                <w:rFonts w:ascii="等线" w:hAnsi="等线" w:eastAsia="等线"/>
                <w:sz w:val="21"/>
                <w:szCs w:val="22"/>
              </w:rPr>
            </w:pPr>
          </w:p>
        </w:tc>
        <w:tc>
          <w:tcPr>
            <w:tcW w:w="1974" w:type="dxa"/>
            <w:vMerge w:val="restart"/>
            <w:shd w:val="clear" w:color="auto" w:fill="auto"/>
            <w:vAlign w:val="center"/>
          </w:tcPr>
          <w:p>
            <w:pPr>
              <w:ind w:firstLine="16" w:firstLineChars="8"/>
              <w:jc w:val="center"/>
              <w:rPr>
                <w:rFonts w:ascii="宋体" w:hAnsi="宋体"/>
                <w:sz w:val="21"/>
                <w:szCs w:val="22"/>
              </w:rPr>
            </w:pPr>
            <w:r>
              <w:rPr>
                <w:rFonts w:hint="eastAsia" w:ascii="宋体" w:hAnsi="宋体"/>
                <w:sz w:val="21"/>
                <w:szCs w:val="22"/>
              </w:rPr>
              <w:t>时空标识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0" w:firstLineChars="0"/>
              <w:jc w:val="center"/>
              <w:rPr>
                <w:rFonts w:ascii="宋体" w:hAnsi="宋体"/>
                <w:sz w:val="21"/>
                <w:szCs w:val="22"/>
              </w:rPr>
            </w:pPr>
            <w:r>
              <w:rPr>
                <w:rFonts w:hint="eastAsia" w:ascii="宋体" w:hAnsi="宋体"/>
                <w:sz w:val="21"/>
                <w:szCs w:val="22"/>
              </w:rPr>
              <w:t>5</w:t>
            </w:r>
          </w:p>
        </w:tc>
        <w:tc>
          <w:tcPr>
            <w:tcW w:w="1428" w:type="dxa"/>
            <w:vMerge w:val="continue"/>
            <w:shd w:val="clear" w:color="auto" w:fill="auto"/>
            <w:vAlign w:val="center"/>
          </w:tcPr>
          <w:p>
            <w:pPr>
              <w:ind w:firstLine="27" w:firstLineChars="13"/>
              <w:jc w:val="center"/>
              <w:rPr>
                <w:rFonts w:ascii="等线" w:hAnsi="等线" w:eastAsia="等线"/>
                <w:sz w:val="21"/>
                <w:szCs w:val="22"/>
              </w:rPr>
            </w:pPr>
          </w:p>
        </w:tc>
        <w:tc>
          <w:tcPr>
            <w:tcW w:w="1974" w:type="dxa"/>
            <w:vMerge w:val="continue"/>
            <w:shd w:val="clear" w:color="auto" w:fill="auto"/>
            <w:vAlign w:val="center"/>
          </w:tcPr>
          <w:p>
            <w:pPr>
              <w:ind w:firstLine="16" w:firstLineChars="8"/>
              <w:jc w:val="center"/>
              <w:rPr>
                <w:rFonts w:ascii="宋体" w:hAnsi="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0" w:firstLineChars="0"/>
              <w:jc w:val="center"/>
              <w:rPr>
                <w:rFonts w:ascii="宋体" w:hAnsi="宋体"/>
                <w:sz w:val="21"/>
                <w:szCs w:val="22"/>
              </w:rPr>
            </w:pPr>
            <w:r>
              <w:rPr>
                <w:rFonts w:hint="eastAsia" w:ascii="宋体" w:hAnsi="宋体"/>
                <w:sz w:val="21"/>
                <w:szCs w:val="22"/>
              </w:rPr>
              <w:t>6</w:t>
            </w:r>
          </w:p>
        </w:tc>
        <w:tc>
          <w:tcPr>
            <w:tcW w:w="1428" w:type="dxa"/>
            <w:vMerge w:val="restart"/>
            <w:shd w:val="clear" w:color="auto" w:fill="auto"/>
            <w:noWrap/>
            <w:vAlign w:val="center"/>
          </w:tcPr>
          <w:p>
            <w:pPr>
              <w:ind w:firstLine="27" w:firstLineChars="13"/>
              <w:jc w:val="center"/>
              <w:rPr>
                <w:rFonts w:ascii="等线" w:hAnsi="等线" w:eastAsia="等线"/>
                <w:sz w:val="21"/>
                <w:szCs w:val="22"/>
              </w:rPr>
            </w:pPr>
            <w:r>
              <w:rPr>
                <w:rFonts w:hint="eastAsia" w:ascii="等线" w:hAnsi="等线" w:eastAsia="等线"/>
                <w:sz w:val="21"/>
                <w:szCs w:val="22"/>
              </w:rPr>
              <w:t>时空</w:t>
            </w:r>
            <w:r>
              <w:rPr>
                <w:rFonts w:ascii="等线" w:hAnsi="等线" w:eastAsia="等线"/>
                <w:sz w:val="21"/>
                <w:szCs w:val="22"/>
              </w:rPr>
              <w:t>体验</w:t>
            </w:r>
          </w:p>
        </w:tc>
        <w:tc>
          <w:tcPr>
            <w:tcW w:w="1974" w:type="dxa"/>
            <w:shd w:val="clear" w:color="auto" w:fill="auto"/>
            <w:noWrap/>
            <w:vAlign w:val="center"/>
          </w:tcPr>
          <w:p>
            <w:pPr>
              <w:ind w:firstLine="16" w:firstLineChars="8"/>
              <w:jc w:val="center"/>
              <w:rPr>
                <w:rFonts w:ascii="宋体" w:hAnsi="宋体"/>
                <w:sz w:val="21"/>
                <w:szCs w:val="22"/>
              </w:rPr>
            </w:pPr>
            <w:r>
              <w:rPr>
                <w:rFonts w:hint="eastAsia" w:ascii="宋体" w:hAnsi="宋体"/>
                <w:sz w:val="21"/>
                <w:szCs w:val="22"/>
              </w:rPr>
              <w:t>短期体验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0" w:firstLineChars="0"/>
              <w:jc w:val="center"/>
              <w:rPr>
                <w:rFonts w:ascii="宋体" w:hAnsi="宋体"/>
                <w:sz w:val="21"/>
                <w:szCs w:val="22"/>
              </w:rPr>
            </w:pPr>
            <w:r>
              <w:rPr>
                <w:rFonts w:hint="eastAsia" w:ascii="宋体" w:hAnsi="宋体"/>
                <w:sz w:val="21"/>
                <w:szCs w:val="22"/>
              </w:rPr>
              <w:t>7</w:t>
            </w:r>
          </w:p>
        </w:tc>
        <w:tc>
          <w:tcPr>
            <w:tcW w:w="1428" w:type="dxa"/>
            <w:vMerge w:val="continue"/>
            <w:shd w:val="clear" w:color="auto" w:fill="auto"/>
            <w:noWrap/>
            <w:vAlign w:val="center"/>
          </w:tcPr>
          <w:p>
            <w:pPr>
              <w:ind w:firstLine="27" w:firstLineChars="13"/>
              <w:jc w:val="center"/>
              <w:rPr>
                <w:rFonts w:ascii="等线" w:hAnsi="等线" w:eastAsia="等线"/>
                <w:sz w:val="21"/>
                <w:szCs w:val="22"/>
              </w:rPr>
            </w:pPr>
          </w:p>
        </w:tc>
        <w:tc>
          <w:tcPr>
            <w:tcW w:w="1974" w:type="dxa"/>
            <w:shd w:val="clear" w:color="auto" w:fill="auto"/>
            <w:noWrap/>
            <w:vAlign w:val="center"/>
          </w:tcPr>
          <w:p>
            <w:pPr>
              <w:ind w:firstLine="16" w:firstLineChars="8"/>
              <w:jc w:val="center"/>
              <w:rPr>
                <w:rFonts w:ascii="宋体" w:hAnsi="宋体"/>
                <w:sz w:val="21"/>
                <w:szCs w:val="22"/>
              </w:rPr>
            </w:pPr>
            <w:r>
              <w:rPr>
                <w:rFonts w:hint="eastAsia" w:ascii="宋体" w:hAnsi="宋体"/>
                <w:sz w:val="21"/>
                <w:szCs w:val="22"/>
              </w:rPr>
              <w:t>长期体验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0" w:firstLineChars="0"/>
              <w:jc w:val="center"/>
              <w:rPr>
                <w:rFonts w:ascii="宋体" w:hAnsi="宋体"/>
                <w:sz w:val="21"/>
                <w:szCs w:val="22"/>
              </w:rPr>
            </w:pPr>
            <w:r>
              <w:rPr>
                <w:rFonts w:ascii="宋体" w:hAnsi="宋体"/>
                <w:sz w:val="21"/>
                <w:szCs w:val="22"/>
              </w:rPr>
              <w:t>8</w:t>
            </w:r>
          </w:p>
        </w:tc>
        <w:tc>
          <w:tcPr>
            <w:tcW w:w="1428" w:type="dxa"/>
            <w:vMerge w:val="restart"/>
            <w:shd w:val="clear" w:color="auto" w:fill="auto"/>
            <w:noWrap/>
            <w:vAlign w:val="center"/>
          </w:tcPr>
          <w:p>
            <w:pPr>
              <w:ind w:firstLine="27" w:firstLineChars="13"/>
              <w:jc w:val="center"/>
              <w:rPr>
                <w:rFonts w:ascii="等线" w:hAnsi="等线" w:eastAsia="等线"/>
                <w:sz w:val="21"/>
                <w:szCs w:val="22"/>
              </w:rPr>
            </w:pPr>
            <w:r>
              <w:rPr>
                <w:rFonts w:hint="eastAsia" w:ascii="等线" w:hAnsi="等线" w:eastAsia="等线"/>
                <w:sz w:val="21"/>
                <w:szCs w:val="22"/>
              </w:rPr>
              <w:t>时空互动</w:t>
            </w:r>
          </w:p>
        </w:tc>
        <w:tc>
          <w:tcPr>
            <w:tcW w:w="1974" w:type="dxa"/>
            <w:shd w:val="clear" w:color="auto" w:fill="auto"/>
            <w:noWrap/>
            <w:vAlign w:val="center"/>
          </w:tcPr>
          <w:p>
            <w:pPr>
              <w:ind w:firstLine="16" w:firstLineChars="8"/>
              <w:jc w:val="center"/>
              <w:rPr>
                <w:rFonts w:ascii="宋体" w:hAnsi="宋体"/>
                <w:sz w:val="21"/>
                <w:szCs w:val="22"/>
              </w:rPr>
            </w:pPr>
            <w:r>
              <w:rPr>
                <w:rFonts w:hint="eastAsia" w:ascii="宋体" w:hAnsi="宋体"/>
                <w:sz w:val="21"/>
                <w:szCs w:val="22"/>
              </w:rPr>
              <w:t>内容管理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0" w:firstLineChars="0"/>
              <w:jc w:val="center"/>
              <w:rPr>
                <w:rFonts w:ascii="宋体" w:hAnsi="宋体"/>
                <w:sz w:val="21"/>
                <w:szCs w:val="22"/>
              </w:rPr>
            </w:pPr>
            <w:r>
              <w:rPr>
                <w:rFonts w:hint="eastAsia" w:ascii="宋体" w:hAnsi="宋体"/>
                <w:sz w:val="21"/>
                <w:szCs w:val="22"/>
              </w:rPr>
              <w:t>8</w:t>
            </w:r>
          </w:p>
        </w:tc>
        <w:tc>
          <w:tcPr>
            <w:tcW w:w="1428" w:type="dxa"/>
            <w:vMerge w:val="continue"/>
            <w:shd w:val="clear" w:color="auto" w:fill="auto"/>
            <w:vAlign w:val="center"/>
          </w:tcPr>
          <w:p>
            <w:pPr>
              <w:ind w:firstLine="27" w:firstLineChars="13"/>
              <w:jc w:val="center"/>
              <w:rPr>
                <w:rFonts w:ascii="等线" w:hAnsi="等线" w:eastAsia="等线"/>
                <w:sz w:val="21"/>
                <w:szCs w:val="22"/>
              </w:rPr>
            </w:pPr>
          </w:p>
        </w:tc>
        <w:tc>
          <w:tcPr>
            <w:tcW w:w="1974" w:type="dxa"/>
            <w:shd w:val="clear" w:color="auto" w:fill="auto"/>
            <w:vAlign w:val="center"/>
          </w:tcPr>
          <w:p>
            <w:pPr>
              <w:ind w:firstLine="16" w:firstLineChars="8"/>
              <w:jc w:val="center"/>
              <w:rPr>
                <w:rFonts w:ascii="宋体" w:hAnsi="宋体"/>
                <w:sz w:val="21"/>
                <w:szCs w:val="22"/>
              </w:rPr>
            </w:pPr>
            <w:r>
              <w:rPr>
                <w:rFonts w:hint="eastAsia" w:ascii="宋体" w:hAnsi="宋体"/>
                <w:sz w:val="21"/>
                <w:szCs w:val="22"/>
              </w:rPr>
              <w:t>机制</w:t>
            </w:r>
            <w:r>
              <w:rPr>
                <w:rFonts w:ascii="宋体" w:hAnsi="宋体"/>
                <w:sz w:val="21"/>
                <w:szCs w:val="22"/>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0" w:firstLineChars="0"/>
              <w:jc w:val="center"/>
              <w:rPr>
                <w:rFonts w:ascii="宋体" w:hAnsi="宋体"/>
                <w:sz w:val="21"/>
                <w:szCs w:val="22"/>
              </w:rPr>
            </w:pPr>
            <w:r>
              <w:rPr>
                <w:rFonts w:hint="eastAsia" w:ascii="宋体" w:hAnsi="宋体"/>
                <w:sz w:val="21"/>
                <w:szCs w:val="22"/>
              </w:rPr>
              <w:t>9</w:t>
            </w:r>
          </w:p>
        </w:tc>
        <w:tc>
          <w:tcPr>
            <w:tcW w:w="1428" w:type="dxa"/>
            <w:vMerge w:val="continue"/>
            <w:shd w:val="clear" w:color="auto" w:fill="auto"/>
            <w:vAlign w:val="center"/>
          </w:tcPr>
          <w:p>
            <w:pPr>
              <w:ind w:firstLine="27" w:firstLineChars="13"/>
              <w:jc w:val="center"/>
              <w:rPr>
                <w:rFonts w:ascii="等线" w:hAnsi="等线" w:eastAsia="等线"/>
                <w:sz w:val="21"/>
                <w:szCs w:val="22"/>
              </w:rPr>
            </w:pPr>
          </w:p>
        </w:tc>
        <w:tc>
          <w:tcPr>
            <w:tcW w:w="1974" w:type="dxa"/>
            <w:shd w:val="clear" w:color="auto" w:fill="auto"/>
            <w:vAlign w:val="center"/>
          </w:tcPr>
          <w:p>
            <w:pPr>
              <w:ind w:firstLine="16" w:firstLineChars="8"/>
              <w:jc w:val="center"/>
              <w:rPr>
                <w:rFonts w:ascii="宋体" w:hAnsi="宋体"/>
                <w:sz w:val="21"/>
                <w:szCs w:val="22"/>
              </w:rPr>
            </w:pPr>
            <w:r>
              <w:rPr>
                <w:rFonts w:hint="eastAsia" w:ascii="宋体" w:hAnsi="宋体"/>
                <w:sz w:val="21"/>
                <w:szCs w:val="22"/>
              </w:rPr>
              <w:t>行为管理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0" w:firstLineChars="0"/>
              <w:jc w:val="center"/>
              <w:rPr>
                <w:rFonts w:ascii="宋体" w:hAnsi="宋体"/>
                <w:sz w:val="21"/>
                <w:szCs w:val="22"/>
              </w:rPr>
            </w:pPr>
            <w:r>
              <w:rPr>
                <w:rFonts w:hint="eastAsia" w:ascii="宋体" w:hAnsi="宋体"/>
                <w:sz w:val="21"/>
                <w:szCs w:val="22"/>
              </w:rPr>
              <w:t>11</w:t>
            </w:r>
          </w:p>
        </w:tc>
        <w:tc>
          <w:tcPr>
            <w:tcW w:w="1428" w:type="dxa"/>
            <w:vMerge w:val="restart"/>
            <w:shd w:val="clear" w:color="auto" w:fill="auto"/>
            <w:vAlign w:val="center"/>
          </w:tcPr>
          <w:p>
            <w:pPr>
              <w:ind w:firstLine="27" w:firstLineChars="13"/>
              <w:jc w:val="center"/>
              <w:rPr>
                <w:rFonts w:ascii="等线" w:hAnsi="等线" w:eastAsia="等线"/>
                <w:sz w:val="21"/>
                <w:szCs w:val="22"/>
              </w:rPr>
            </w:pPr>
            <w:r>
              <w:rPr>
                <w:rFonts w:hint="eastAsia" w:ascii="等线" w:hAnsi="等线" w:eastAsia="等线"/>
                <w:sz w:val="21"/>
                <w:szCs w:val="22"/>
              </w:rPr>
              <w:t>场景应用</w:t>
            </w:r>
          </w:p>
        </w:tc>
        <w:tc>
          <w:tcPr>
            <w:tcW w:w="1974" w:type="dxa"/>
            <w:shd w:val="clear" w:color="auto" w:fill="auto"/>
            <w:vAlign w:val="center"/>
          </w:tcPr>
          <w:p>
            <w:pPr>
              <w:ind w:firstLine="16" w:firstLineChars="8"/>
              <w:jc w:val="center"/>
              <w:rPr>
                <w:rFonts w:ascii="宋体" w:hAnsi="宋体"/>
                <w:sz w:val="21"/>
                <w:szCs w:val="22"/>
              </w:rPr>
            </w:pPr>
            <w:r>
              <w:rPr>
                <w:rFonts w:hint="eastAsia" w:ascii="宋体" w:hAnsi="宋体"/>
                <w:sz w:val="21"/>
                <w:szCs w:val="22"/>
              </w:rPr>
              <w:t>事项筹备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0" w:firstLineChars="0"/>
              <w:jc w:val="center"/>
              <w:rPr>
                <w:rFonts w:ascii="宋体" w:hAnsi="宋体"/>
                <w:sz w:val="21"/>
                <w:szCs w:val="22"/>
              </w:rPr>
            </w:pPr>
            <w:r>
              <w:rPr>
                <w:rFonts w:hint="eastAsia" w:ascii="宋体" w:hAnsi="宋体"/>
                <w:sz w:val="21"/>
                <w:szCs w:val="22"/>
              </w:rPr>
              <w:t>13</w:t>
            </w:r>
          </w:p>
        </w:tc>
        <w:tc>
          <w:tcPr>
            <w:tcW w:w="1428" w:type="dxa"/>
            <w:vMerge w:val="continue"/>
            <w:shd w:val="clear" w:color="auto" w:fill="auto"/>
            <w:vAlign w:val="center"/>
          </w:tcPr>
          <w:p>
            <w:pPr>
              <w:ind w:firstLine="420"/>
              <w:jc w:val="center"/>
              <w:rPr>
                <w:rFonts w:ascii="等线" w:hAnsi="等线" w:eastAsia="等线"/>
                <w:sz w:val="21"/>
                <w:szCs w:val="22"/>
              </w:rPr>
            </w:pPr>
          </w:p>
        </w:tc>
        <w:tc>
          <w:tcPr>
            <w:tcW w:w="1974" w:type="dxa"/>
            <w:shd w:val="clear" w:color="auto" w:fill="auto"/>
            <w:vAlign w:val="center"/>
          </w:tcPr>
          <w:p>
            <w:pPr>
              <w:ind w:firstLine="16" w:firstLineChars="8"/>
              <w:jc w:val="center"/>
              <w:rPr>
                <w:rFonts w:ascii="宋体" w:hAnsi="宋体"/>
                <w:sz w:val="21"/>
                <w:szCs w:val="22"/>
              </w:rPr>
            </w:pPr>
            <w:r>
              <w:rPr>
                <w:rFonts w:hint="eastAsia" w:ascii="宋体" w:hAnsi="宋体"/>
                <w:sz w:val="21"/>
                <w:szCs w:val="22"/>
              </w:rPr>
              <w:t>冠名营销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0" w:firstLineChars="0"/>
              <w:jc w:val="center"/>
              <w:rPr>
                <w:rFonts w:ascii="宋体" w:hAnsi="宋体"/>
                <w:sz w:val="21"/>
                <w:szCs w:val="22"/>
              </w:rPr>
            </w:pPr>
            <w:r>
              <w:rPr>
                <w:rFonts w:hint="eastAsia" w:ascii="宋体" w:hAnsi="宋体"/>
                <w:sz w:val="21"/>
                <w:szCs w:val="22"/>
              </w:rPr>
              <w:t>14</w:t>
            </w:r>
          </w:p>
        </w:tc>
        <w:tc>
          <w:tcPr>
            <w:tcW w:w="1428" w:type="dxa"/>
            <w:vMerge w:val="continue"/>
            <w:shd w:val="clear" w:color="auto" w:fill="auto"/>
            <w:vAlign w:val="center"/>
          </w:tcPr>
          <w:p>
            <w:pPr>
              <w:ind w:firstLine="420"/>
              <w:rPr>
                <w:rFonts w:ascii="等线" w:hAnsi="等线" w:eastAsia="等线"/>
                <w:sz w:val="21"/>
                <w:szCs w:val="22"/>
              </w:rPr>
            </w:pPr>
          </w:p>
        </w:tc>
        <w:tc>
          <w:tcPr>
            <w:tcW w:w="1974" w:type="dxa"/>
            <w:shd w:val="clear" w:color="auto" w:fill="auto"/>
            <w:vAlign w:val="center"/>
          </w:tcPr>
          <w:p>
            <w:pPr>
              <w:ind w:firstLine="16" w:firstLineChars="8"/>
              <w:jc w:val="center"/>
              <w:rPr>
                <w:rFonts w:ascii="宋体" w:hAnsi="宋体"/>
                <w:sz w:val="21"/>
                <w:szCs w:val="22"/>
              </w:rPr>
            </w:pPr>
            <w:r>
              <w:rPr>
                <w:rFonts w:hint="eastAsia" w:ascii="宋体" w:hAnsi="宋体"/>
                <w:sz w:val="21"/>
                <w:szCs w:val="22"/>
              </w:rPr>
              <w:t>商务</w:t>
            </w:r>
            <w:r>
              <w:rPr>
                <w:rFonts w:ascii="宋体" w:hAnsi="宋体"/>
                <w:sz w:val="21"/>
                <w:szCs w:val="22"/>
              </w:rPr>
              <w:t>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shd w:val="clear" w:color="auto" w:fill="auto"/>
            <w:vAlign w:val="center"/>
          </w:tcPr>
          <w:p>
            <w:pPr>
              <w:ind w:firstLine="33" w:firstLineChars="16"/>
              <w:jc w:val="center"/>
              <w:rPr>
                <w:rFonts w:ascii="宋体" w:hAnsi="宋体"/>
                <w:sz w:val="21"/>
                <w:szCs w:val="22"/>
              </w:rPr>
            </w:pPr>
            <w:r>
              <w:rPr>
                <w:rFonts w:hint="eastAsia" w:ascii="宋体" w:hAnsi="宋体"/>
                <w:sz w:val="21"/>
                <w:szCs w:val="22"/>
              </w:rPr>
              <w:t>15</w:t>
            </w:r>
          </w:p>
        </w:tc>
        <w:tc>
          <w:tcPr>
            <w:tcW w:w="1428" w:type="dxa"/>
            <w:vMerge w:val="continue"/>
            <w:shd w:val="clear" w:color="auto" w:fill="auto"/>
            <w:vAlign w:val="center"/>
          </w:tcPr>
          <w:p>
            <w:pPr>
              <w:ind w:firstLine="420"/>
              <w:rPr>
                <w:rFonts w:ascii="等线" w:hAnsi="等线" w:eastAsia="等线"/>
                <w:sz w:val="21"/>
                <w:szCs w:val="22"/>
              </w:rPr>
            </w:pPr>
          </w:p>
        </w:tc>
        <w:tc>
          <w:tcPr>
            <w:tcW w:w="1974" w:type="dxa"/>
            <w:shd w:val="clear" w:color="auto" w:fill="auto"/>
            <w:vAlign w:val="center"/>
          </w:tcPr>
          <w:p>
            <w:pPr>
              <w:ind w:firstLine="16" w:firstLineChars="8"/>
              <w:jc w:val="center"/>
              <w:rPr>
                <w:rFonts w:ascii="宋体" w:hAnsi="宋体"/>
                <w:sz w:val="21"/>
                <w:szCs w:val="22"/>
              </w:rPr>
            </w:pPr>
            <w:r>
              <w:rPr>
                <w:rFonts w:hint="eastAsia" w:ascii="宋体" w:hAnsi="宋体"/>
                <w:sz w:val="21"/>
                <w:szCs w:val="22"/>
              </w:rPr>
              <w:t>算法服务</w:t>
            </w:r>
          </w:p>
        </w:tc>
      </w:tr>
    </w:tbl>
    <w:p>
      <w:pPr>
        <w:spacing w:before="120" w:beforeLines="50" w:after="120" w:afterLines="50"/>
        <w:ind w:firstLine="560"/>
        <w:rPr>
          <w:rFonts w:ascii="宋体" w:hAnsi="宋体"/>
          <w:szCs w:val="21"/>
        </w:rPr>
      </w:pPr>
    </w:p>
    <w:p>
      <w:pPr>
        <w:spacing w:before="120" w:beforeLines="50" w:after="120" w:afterLines="50"/>
        <w:ind w:firstLine="560"/>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 xml:space="preserve"> 资产风险，</w:t>
      </w:r>
      <w:r>
        <w:rPr>
          <w:rFonts w:ascii="宋体" w:hAnsi="宋体"/>
          <w:szCs w:val="21"/>
        </w:rPr>
        <w:t>包括以下二级及三级指标</w:t>
      </w:r>
    </w:p>
    <w:tbl>
      <w:tblPr>
        <w:tblStyle w:val="5"/>
        <w:tblW w:w="4677" w:type="dxa"/>
        <w:tblInd w:w="1555" w:type="dxa"/>
        <w:tblLayout w:type="autofit"/>
        <w:tblCellMar>
          <w:top w:w="0" w:type="dxa"/>
          <w:left w:w="108" w:type="dxa"/>
          <w:bottom w:w="0" w:type="dxa"/>
          <w:right w:w="108" w:type="dxa"/>
        </w:tblCellMar>
      </w:tblPr>
      <w:tblGrid>
        <w:gridCol w:w="992"/>
        <w:gridCol w:w="1559"/>
        <w:gridCol w:w="2126"/>
      </w:tblGrid>
      <w:tr>
        <w:tblPrEx>
          <w:tblCellMar>
            <w:top w:w="0" w:type="dxa"/>
            <w:left w:w="108" w:type="dxa"/>
            <w:bottom w:w="0" w:type="dxa"/>
            <w:right w:w="108" w:type="dxa"/>
          </w:tblCellMar>
        </w:tblPrEx>
        <w:trPr>
          <w:trHeight w:val="525" w:hRule="atLeast"/>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7" w:firstLineChars="13"/>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编号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ind w:firstLine="17" w:firstLineChars="8"/>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二级指标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ind w:firstLine="38" w:firstLineChars="18"/>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三级指标</w:t>
            </w:r>
          </w:p>
        </w:tc>
      </w:tr>
      <w:tr>
        <w:tblPrEx>
          <w:tblCellMar>
            <w:top w:w="0" w:type="dxa"/>
            <w:left w:w="108" w:type="dxa"/>
            <w:bottom w:w="0" w:type="dxa"/>
            <w:right w:w="108" w:type="dxa"/>
          </w:tblCellMar>
        </w:tblPrEx>
        <w:trPr>
          <w:trHeight w:val="479"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ind w:firstLine="27" w:firstLineChars="13"/>
              <w:jc w:val="center"/>
              <w:rPr>
                <w:rFonts w:ascii="等线" w:hAnsi="等线" w:eastAsia="等线" w:cs="宋体"/>
                <w:color w:val="000000"/>
                <w:sz w:val="21"/>
                <w:szCs w:val="21"/>
              </w:rPr>
            </w:pPr>
            <w:r>
              <w:rPr>
                <w:rFonts w:hint="eastAsia" w:ascii="等线" w:hAnsi="等线" w:eastAsia="等线" w:cs="宋体"/>
                <w:color w:val="000000"/>
                <w:sz w:val="21"/>
                <w:szCs w:val="21"/>
              </w:rPr>
              <w:t>1</w:t>
            </w:r>
          </w:p>
        </w:tc>
        <w:tc>
          <w:tcPr>
            <w:tcW w:w="1559" w:type="dxa"/>
            <w:vMerge w:val="restart"/>
            <w:tcBorders>
              <w:top w:val="nil"/>
              <w:left w:val="nil"/>
              <w:right w:val="single" w:color="auto" w:sz="4" w:space="0"/>
            </w:tcBorders>
            <w:shd w:val="clear" w:color="auto" w:fill="auto"/>
            <w:noWrap/>
            <w:vAlign w:val="center"/>
          </w:tcPr>
          <w:p>
            <w:pPr>
              <w:ind w:firstLine="16" w:firstLineChars="8"/>
              <w:jc w:val="center"/>
              <w:rPr>
                <w:rFonts w:ascii="宋体" w:hAnsi="宋体" w:cs="宋体"/>
                <w:color w:val="000000"/>
                <w:sz w:val="21"/>
                <w:szCs w:val="21"/>
              </w:rPr>
            </w:pPr>
            <w:r>
              <w:rPr>
                <w:rFonts w:hint="eastAsia" w:ascii="宋体" w:hAnsi="宋体" w:cs="宋体"/>
                <w:color w:val="000000"/>
                <w:sz w:val="21"/>
                <w:szCs w:val="21"/>
              </w:rPr>
              <w:t>资产管理</w:t>
            </w:r>
          </w:p>
        </w:tc>
        <w:tc>
          <w:tcPr>
            <w:tcW w:w="2126" w:type="dxa"/>
            <w:tcBorders>
              <w:top w:val="nil"/>
              <w:left w:val="nil"/>
              <w:bottom w:val="single" w:color="auto" w:sz="4" w:space="0"/>
              <w:right w:val="single" w:color="auto" w:sz="4" w:space="0"/>
            </w:tcBorders>
            <w:shd w:val="clear" w:color="auto" w:fill="auto"/>
            <w:noWrap/>
            <w:vAlign w:val="center"/>
          </w:tcPr>
          <w:p>
            <w:pPr>
              <w:ind w:firstLine="37" w:firstLineChars="18"/>
              <w:jc w:val="center"/>
              <w:rPr>
                <w:rFonts w:ascii="宋体" w:hAnsi="宋体" w:cs="宋体"/>
                <w:color w:val="000000"/>
                <w:sz w:val="21"/>
                <w:szCs w:val="21"/>
              </w:rPr>
            </w:pPr>
            <w:r>
              <w:rPr>
                <w:rFonts w:hint="eastAsia" w:ascii="宋体" w:hAnsi="宋体" w:cs="宋体"/>
                <w:color w:val="000000"/>
                <w:sz w:val="21"/>
                <w:szCs w:val="21"/>
              </w:rPr>
              <w:t>资产信息</w:t>
            </w:r>
          </w:p>
        </w:tc>
      </w:tr>
      <w:tr>
        <w:tblPrEx>
          <w:tblCellMar>
            <w:top w:w="0" w:type="dxa"/>
            <w:left w:w="108" w:type="dxa"/>
            <w:bottom w:w="0" w:type="dxa"/>
            <w:right w:w="108" w:type="dxa"/>
          </w:tblCellMar>
        </w:tblPrEx>
        <w:trPr>
          <w:trHeight w:val="415"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ind w:firstLine="27" w:firstLineChars="13"/>
              <w:jc w:val="center"/>
              <w:rPr>
                <w:rFonts w:ascii="等线" w:hAnsi="等线" w:eastAsia="等线" w:cs="宋体"/>
                <w:color w:val="000000"/>
                <w:sz w:val="21"/>
                <w:szCs w:val="21"/>
              </w:rPr>
            </w:pPr>
            <w:r>
              <w:rPr>
                <w:rFonts w:hint="eastAsia" w:ascii="等线" w:hAnsi="等线" w:eastAsia="等线" w:cs="宋体"/>
                <w:color w:val="000000"/>
                <w:sz w:val="21"/>
                <w:szCs w:val="21"/>
              </w:rPr>
              <w:t>2</w:t>
            </w:r>
          </w:p>
        </w:tc>
        <w:tc>
          <w:tcPr>
            <w:tcW w:w="1559" w:type="dxa"/>
            <w:vMerge w:val="continue"/>
            <w:tcBorders>
              <w:left w:val="nil"/>
              <w:right w:val="single" w:color="auto" w:sz="4" w:space="0"/>
            </w:tcBorders>
            <w:shd w:val="clear" w:color="auto" w:fill="auto"/>
            <w:noWrap/>
            <w:vAlign w:val="center"/>
          </w:tcPr>
          <w:p>
            <w:pPr>
              <w:ind w:firstLine="16" w:firstLineChars="8"/>
              <w:jc w:val="center"/>
              <w:rPr>
                <w:rFonts w:ascii="宋体" w:hAnsi="宋体" w:cs="宋体"/>
                <w:color w:val="000000"/>
                <w:sz w:val="21"/>
                <w:szCs w:val="21"/>
              </w:rPr>
            </w:pPr>
          </w:p>
        </w:tc>
        <w:tc>
          <w:tcPr>
            <w:tcW w:w="2126" w:type="dxa"/>
            <w:tcBorders>
              <w:top w:val="nil"/>
              <w:left w:val="nil"/>
              <w:bottom w:val="single" w:color="auto" w:sz="4" w:space="0"/>
              <w:right w:val="single" w:color="auto" w:sz="4" w:space="0"/>
            </w:tcBorders>
            <w:shd w:val="clear" w:color="auto" w:fill="auto"/>
            <w:noWrap/>
            <w:vAlign w:val="center"/>
          </w:tcPr>
          <w:p>
            <w:pPr>
              <w:ind w:firstLine="37" w:firstLineChars="18"/>
              <w:jc w:val="center"/>
              <w:rPr>
                <w:rFonts w:ascii="宋体" w:hAnsi="宋体" w:cs="宋体"/>
                <w:color w:val="000000"/>
                <w:sz w:val="21"/>
                <w:szCs w:val="21"/>
              </w:rPr>
            </w:pPr>
            <w:r>
              <w:rPr>
                <w:rFonts w:hint="eastAsia" w:ascii="宋体" w:hAnsi="宋体" w:cs="宋体"/>
                <w:color w:val="000000"/>
                <w:sz w:val="21"/>
                <w:szCs w:val="21"/>
              </w:rPr>
              <w:t>资产权益</w:t>
            </w:r>
          </w:p>
        </w:tc>
      </w:tr>
      <w:tr>
        <w:tblPrEx>
          <w:tblCellMar>
            <w:top w:w="0" w:type="dxa"/>
            <w:left w:w="108" w:type="dxa"/>
            <w:bottom w:w="0" w:type="dxa"/>
            <w:right w:w="108" w:type="dxa"/>
          </w:tblCellMar>
        </w:tblPrEx>
        <w:trPr>
          <w:trHeight w:val="392"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ind w:firstLine="27" w:firstLineChars="13"/>
              <w:jc w:val="center"/>
              <w:rPr>
                <w:rFonts w:ascii="等线" w:hAnsi="等线" w:eastAsia="等线" w:cs="宋体"/>
                <w:color w:val="000000"/>
                <w:sz w:val="21"/>
                <w:szCs w:val="21"/>
              </w:rPr>
            </w:pPr>
            <w:r>
              <w:rPr>
                <w:rFonts w:hint="eastAsia" w:ascii="等线" w:hAnsi="等线" w:eastAsia="等线" w:cs="宋体"/>
                <w:color w:val="000000"/>
                <w:sz w:val="21"/>
                <w:szCs w:val="21"/>
              </w:rPr>
              <w:t>3</w:t>
            </w:r>
          </w:p>
        </w:tc>
        <w:tc>
          <w:tcPr>
            <w:tcW w:w="1559" w:type="dxa"/>
            <w:vMerge w:val="continue"/>
            <w:tcBorders>
              <w:left w:val="nil"/>
              <w:bottom w:val="single" w:color="auto" w:sz="4" w:space="0"/>
              <w:right w:val="single" w:color="auto" w:sz="4" w:space="0"/>
            </w:tcBorders>
            <w:shd w:val="clear" w:color="auto" w:fill="auto"/>
            <w:noWrap/>
            <w:vAlign w:val="center"/>
          </w:tcPr>
          <w:p>
            <w:pPr>
              <w:ind w:firstLine="16" w:firstLineChars="8"/>
              <w:jc w:val="center"/>
              <w:rPr>
                <w:rFonts w:ascii="宋体" w:hAnsi="宋体" w:cs="宋体"/>
                <w:color w:val="000000"/>
                <w:sz w:val="21"/>
                <w:szCs w:val="21"/>
              </w:rPr>
            </w:pPr>
          </w:p>
        </w:tc>
        <w:tc>
          <w:tcPr>
            <w:tcW w:w="2126" w:type="dxa"/>
            <w:tcBorders>
              <w:top w:val="nil"/>
              <w:left w:val="nil"/>
              <w:bottom w:val="single" w:color="auto" w:sz="4" w:space="0"/>
              <w:right w:val="single" w:color="auto" w:sz="4" w:space="0"/>
            </w:tcBorders>
            <w:shd w:val="clear" w:color="auto" w:fill="auto"/>
            <w:noWrap/>
            <w:vAlign w:val="center"/>
          </w:tcPr>
          <w:p>
            <w:pPr>
              <w:ind w:firstLine="37" w:firstLineChars="18"/>
              <w:jc w:val="center"/>
              <w:rPr>
                <w:rFonts w:ascii="宋体" w:hAnsi="宋体" w:cs="宋体"/>
                <w:color w:val="000000"/>
                <w:sz w:val="21"/>
                <w:szCs w:val="21"/>
              </w:rPr>
            </w:pPr>
            <w:r>
              <w:rPr>
                <w:rFonts w:hint="eastAsia" w:ascii="宋体" w:hAnsi="宋体" w:cs="宋体"/>
                <w:color w:val="000000"/>
                <w:sz w:val="21"/>
                <w:szCs w:val="21"/>
              </w:rPr>
              <w:t>原生资产</w:t>
            </w:r>
          </w:p>
        </w:tc>
      </w:tr>
      <w:tr>
        <w:tblPrEx>
          <w:tblCellMar>
            <w:top w:w="0" w:type="dxa"/>
            <w:left w:w="108" w:type="dxa"/>
            <w:bottom w:w="0" w:type="dxa"/>
            <w:right w:w="108" w:type="dxa"/>
          </w:tblCellMar>
        </w:tblPrEx>
        <w:trPr>
          <w:trHeight w:val="398"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ind w:firstLine="27" w:firstLineChars="13"/>
              <w:jc w:val="center"/>
              <w:rPr>
                <w:rFonts w:ascii="等线" w:hAnsi="等线" w:eastAsia="等线" w:cs="宋体"/>
                <w:color w:val="000000"/>
                <w:sz w:val="21"/>
                <w:szCs w:val="21"/>
              </w:rPr>
            </w:pPr>
            <w:r>
              <w:rPr>
                <w:rFonts w:hint="eastAsia" w:ascii="等线" w:hAnsi="等线" w:eastAsia="等线" w:cs="宋体"/>
                <w:color w:val="000000"/>
                <w:sz w:val="21"/>
                <w:szCs w:val="21"/>
              </w:rPr>
              <w:t>4</w:t>
            </w:r>
          </w:p>
        </w:tc>
        <w:tc>
          <w:tcPr>
            <w:tcW w:w="1559" w:type="dxa"/>
            <w:vMerge w:val="restart"/>
            <w:tcBorders>
              <w:top w:val="nil"/>
              <w:left w:val="nil"/>
              <w:right w:val="single" w:color="auto" w:sz="4" w:space="0"/>
            </w:tcBorders>
            <w:shd w:val="clear" w:color="auto" w:fill="auto"/>
            <w:noWrap/>
            <w:vAlign w:val="center"/>
          </w:tcPr>
          <w:p>
            <w:pPr>
              <w:ind w:firstLine="16" w:firstLineChars="8"/>
              <w:jc w:val="center"/>
              <w:rPr>
                <w:rFonts w:ascii="宋体" w:hAnsi="宋体" w:cs="宋体"/>
                <w:color w:val="000000"/>
                <w:sz w:val="21"/>
                <w:szCs w:val="21"/>
              </w:rPr>
            </w:pPr>
            <w:r>
              <w:rPr>
                <w:rFonts w:hint="eastAsia" w:ascii="宋体" w:hAnsi="宋体" w:cs="宋体"/>
                <w:color w:val="000000"/>
                <w:sz w:val="21"/>
                <w:szCs w:val="21"/>
              </w:rPr>
              <w:t>资产流通</w:t>
            </w:r>
          </w:p>
        </w:tc>
        <w:tc>
          <w:tcPr>
            <w:tcW w:w="2126" w:type="dxa"/>
            <w:tcBorders>
              <w:top w:val="nil"/>
              <w:left w:val="nil"/>
              <w:bottom w:val="single" w:color="auto" w:sz="4" w:space="0"/>
              <w:right w:val="single" w:color="auto" w:sz="4" w:space="0"/>
            </w:tcBorders>
            <w:shd w:val="clear" w:color="auto" w:fill="auto"/>
            <w:noWrap/>
            <w:vAlign w:val="center"/>
          </w:tcPr>
          <w:p>
            <w:pPr>
              <w:ind w:firstLine="37" w:firstLineChars="18"/>
              <w:jc w:val="center"/>
              <w:rPr>
                <w:rFonts w:ascii="宋体" w:hAnsi="宋体" w:cs="宋体"/>
                <w:color w:val="000000"/>
                <w:sz w:val="21"/>
                <w:szCs w:val="21"/>
              </w:rPr>
            </w:pPr>
            <w:r>
              <w:rPr>
                <w:rFonts w:hint="eastAsia" w:ascii="宋体" w:hAnsi="宋体" w:cs="宋体"/>
                <w:color w:val="000000"/>
                <w:sz w:val="21"/>
                <w:szCs w:val="21"/>
              </w:rPr>
              <w:t>流通交易</w:t>
            </w:r>
          </w:p>
        </w:tc>
      </w:tr>
      <w:tr>
        <w:tblPrEx>
          <w:tblCellMar>
            <w:top w:w="0" w:type="dxa"/>
            <w:left w:w="108" w:type="dxa"/>
            <w:bottom w:w="0" w:type="dxa"/>
            <w:right w:w="108" w:type="dxa"/>
          </w:tblCellMar>
        </w:tblPrEx>
        <w:trPr>
          <w:trHeight w:val="391"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ind w:firstLine="27" w:firstLineChars="13"/>
              <w:jc w:val="center"/>
              <w:rPr>
                <w:rFonts w:ascii="等线" w:hAnsi="等线" w:eastAsia="等线" w:cs="宋体"/>
                <w:color w:val="000000"/>
                <w:sz w:val="21"/>
                <w:szCs w:val="21"/>
              </w:rPr>
            </w:pPr>
            <w:r>
              <w:rPr>
                <w:rFonts w:hint="eastAsia" w:ascii="等线" w:hAnsi="等线" w:eastAsia="等线" w:cs="宋体"/>
                <w:color w:val="000000"/>
                <w:sz w:val="21"/>
                <w:szCs w:val="21"/>
              </w:rPr>
              <w:t>5</w:t>
            </w:r>
          </w:p>
        </w:tc>
        <w:tc>
          <w:tcPr>
            <w:tcW w:w="1559" w:type="dxa"/>
            <w:vMerge w:val="continue"/>
            <w:tcBorders>
              <w:left w:val="nil"/>
              <w:bottom w:val="single" w:color="auto" w:sz="4" w:space="0"/>
              <w:right w:val="single" w:color="auto" w:sz="4" w:space="0"/>
            </w:tcBorders>
            <w:shd w:val="clear" w:color="auto" w:fill="auto"/>
            <w:noWrap/>
            <w:vAlign w:val="center"/>
          </w:tcPr>
          <w:p>
            <w:pPr>
              <w:ind w:firstLine="16" w:firstLineChars="8"/>
              <w:jc w:val="center"/>
              <w:rPr>
                <w:rFonts w:ascii="宋体" w:hAnsi="宋体" w:cs="宋体"/>
                <w:color w:val="000000"/>
                <w:sz w:val="21"/>
                <w:szCs w:val="21"/>
              </w:rPr>
            </w:pPr>
          </w:p>
        </w:tc>
        <w:tc>
          <w:tcPr>
            <w:tcW w:w="2126" w:type="dxa"/>
            <w:tcBorders>
              <w:top w:val="nil"/>
              <w:left w:val="nil"/>
              <w:bottom w:val="single" w:color="auto" w:sz="4" w:space="0"/>
              <w:right w:val="single" w:color="auto" w:sz="4" w:space="0"/>
            </w:tcBorders>
            <w:shd w:val="clear" w:color="auto" w:fill="auto"/>
            <w:noWrap/>
            <w:vAlign w:val="center"/>
          </w:tcPr>
          <w:p>
            <w:pPr>
              <w:ind w:firstLine="37" w:firstLineChars="18"/>
              <w:jc w:val="center"/>
              <w:rPr>
                <w:rFonts w:ascii="宋体" w:hAnsi="宋体" w:cs="宋体"/>
                <w:color w:val="000000"/>
                <w:sz w:val="21"/>
                <w:szCs w:val="21"/>
              </w:rPr>
            </w:pPr>
            <w:r>
              <w:rPr>
                <w:rFonts w:hint="eastAsia" w:ascii="宋体" w:hAnsi="宋体" w:cs="宋体"/>
                <w:color w:val="000000"/>
                <w:sz w:val="21"/>
                <w:szCs w:val="21"/>
              </w:rPr>
              <w:t>主权安全</w:t>
            </w:r>
          </w:p>
        </w:tc>
      </w:tr>
      <w:tr>
        <w:tblPrEx>
          <w:tblCellMar>
            <w:top w:w="0" w:type="dxa"/>
            <w:left w:w="108" w:type="dxa"/>
            <w:bottom w:w="0" w:type="dxa"/>
            <w:right w:w="108" w:type="dxa"/>
          </w:tblCellMar>
        </w:tblPrEx>
        <w:trPr>
          <w:trHeight w:val="511"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ind w:firstLine="27" w:firstLineChars="13"/>
              <w:jc w:val="center"/>
              <w:rPr>
                <w:rFonts w:ascii="等线" w:hAnsi="等线" w:eastAsia="等线" w:cs="宋体"/>
                <w:color w:val="000000"/>
                <w:sz w:val="21"/>
                <w:szCs w:val="21"/>
              </w:rPr>
            </w:pPr>
            <w:r>
              <w:rPr>
                <w:rFonts w:ascii="等线" w:hAnsi="等线" w:eastAsia="等线" w:cs="宋体"/>
                <w:color w:val="000000"/>
                <w:sz w:val="21"/>
                <w:szCs w:val="21"/>
              </w:rPr>
              <w:t>6</w:t>
            </w:r>
          </w:p>
        </w:tc>
        <w:tc>
          <w:tcPr>
            <w:tcW w:w="1559" w:type="dxa"/>
            <w:vMerge w:val="restart"/>
            <w:tcBorders>
              <w:top w:val="nil"/>
              <w:left w:val="nil"/>
              <w:right w:val="single" w:color="auto" w:sz="4" w:space="0"/>
            </w:tcBorders>
            <w:shd w:val="clear" w:color="auto" w:fill="auto"/>
            <w:noWrap/>
            <w:vAlign w:val="center"/>
          </w:tcPr>
          <w:p>
            <w:pPr>
              <w:ind w:firstLine="16" w:firstLineChars="8"/>
              <w:jc w:val="center"/>
              <w:rPr>
                <w:rFonts w:ascii="宋体" w:hAnsi="宋体" w:cs="宋体"/>
                <w:color w:val="000000"/>
                <w:sz w:val="21"/>
                <w:szCs w:val="21"/>
              </w:rPr>
            </w:pPr>
            <w:r>
              <w:rPr>
                <w:rFonts w:hint="eastAsia" w:ascii="宋体" w:hAnsi="宋体" w:cs="宋体"/>
                <w:color w:val="000000"/>
                <w:sz w:val="21"/>
                <w:szCs w:val="21"/>
              </w:rPr>
              <w:t>资产服务</w:t>
            </w:r>
          </w:p>
        </w:tc>
        <w:tc>
          <w:tcPr>
            <w:tcW w:w="2126" w:type="dxa"/>
            <w:tcBorders>
              <w:top w:val="nil"/>
              <w:left w:val="nil"/>
              <w:bottom w:val="single" w:color="auto" w:sz="4" w:space="0"/>
              <w:right w:val="single" w:color="auto" w:sz="4" w:space="0"/>
            </w:tcBorders>
            <w:shd w:val="clear" w:color="auto" w:fill="auto"/>
            <w:noWrap/>
            <w:vAlign w:val="center"/>
          </w:tcPr>
          <w:p>
            <w:pPr>
              <w:ind w:firstLine="37" w:firstLineChars="18"/>
              <w:jc w:val="center"/>
              <w:rPr>
                <w:rFonts w:ascii="宋体" w:hAnsi="宋体" w:cs="宋体"/>
                <w:color w:val="000000"/>
                <w:sz w:val="21"/>
                <w:szCs w:val="21"/>
              </w:rPr>
            </w:pPr>
            <w:r>
              <w:rPr>
                <w:rFonts w:hint="eastAsia" w:ascii="宋体" w:hAnsi="宋体" w:cs="宋体"/>
                <w:color w:val="000000"/>
                <w:sz w:val="21"/>
                <w:szCs w:val="21"/>
              </w:rPr>
              <w:t>分类服务</w:t>
            </w:r>
          </w:p>
        </w:tc>
      </w:tr>
      <w:tr>
        <w:tblPrEx>
          <w:tblCellMar>
            <w:top w:w="0" w:type="dxa"/>
            <w:left w:w="108" w:type="dxa"/>
            <w:bottom w:w="0" w:type="dxa"/>
            <w:right w:w="108" w:type="dxa"/>
          </w:tblCellMar>
        </w:tblPrEx>
        <w:trPr>
          <w:trHeight w:val="57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7" w:firstLineChars="13"/>
              <w:jc w:val="center"/>
              <w:rPr>
                <w:rFonts w:ascii="等线" w:hAnsi="等线" w:eastAsia="等线" w:cs="宋体"/>
                <w:color w:val="000000"/>
                <w:sz w:val="21"/>
                <w:szCs w:val="21"/>
              </w:rPr>
            </w:pPr>
            <w:r>
              <w:rPr>
                <w:rFonts w:ascii="等线" w:hAnsi="等线" w:eastAsia="等线" w:cs="宋体"/>
                <w:color w:val="000000"/>
                <w:sz w:val="21"/>
                <w:szCs w:val="21"/>
              </w:rPr>
              <w:t>7</w:t>
            </w:r>
          </w:p>
        </w:tc>
        <w:tc>
          <w:tcPr>
            <w:tcW w:w="1559" w:type="dxa"/>
            <w:vMerge w:val="continue"/>
            <w:tcBorders>
              <w:left w:val="nil"/>
              <w:bottom w:val="single" w:color="auto" w:sz="4" w:space="0"/>
              <w:right w:val="single" w:color="auto" w:sz="4" w:space="0"/>
            </w:tcBorders>
            <w:shd w:val="clear" w:color="auto" w:fill="auto"/>
            <w:noWrap/>
            <w:vAlign w:val="center"/>
          </w:tcPr>
          <w:p>
            <w:pPr>
              <w:ind w:firstLine="420"/>
              <w:jc w:val="center"/>
              <w:rPr>
                <w:rFonts w:ascii="宋体" w:hAnsi="宋体" w:cs="宋体"/>
                <w:color w:val="000000"/>
                <w:sz w:val="21"/>
                <w:szCs w:val="21"/>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ind w:firstLine="37" w:firstLineChars="18"/>
              <w:jc w:val="center"/>
              <w:rPr>
                <w:rFonts w:ascii="宋体" w:hAnsi="宋体" w:cs="宋体"/>
                <w:color w:val="000000"/>
                <w:sz w:val="21"/>
                <w:szCs w:val="21"/>
              </w:rPr>
            </w:pPr>
            <w:r>
              <w:rPr>
                <w:rFonts w:hint="eastAsia" w:ascii="宋体" w:hAnsi="宋体" w:cs="宋体"/>
                <w:color w:val="000000"/>
                <w:sz w:val="21"/>
                <w:szCs w:val="21"/>
              </w:rPr>
              <w:t>安全提示</w:t>
            </w:r>
          </w:p>
        </w:tc>
      </w:tr>
    </w:tbl>
    <w:p>
      <w:pPr>
        <w:spacing w:before="120" w:beforeLines="50" w:after="120" w:afterLines="50"/>
        <w:ind w:firstLine="560"/>
        <w:rPr>
          <w:rFonts w:ascii="宋体" w:hAnsi="宋体"/>
          <w:szCs w:val="21"/>
        </w:rPr>
      </w:pPr>
      <w:r>
        <w:rPr>
          <w:rFonts w:hint="eastAsia" w:ascii="宋体" w:hAnsi="宋体"/>
          <w:szCs w:val="21"/>
        </w:rPr>
        <w:t>2.4.4传播风险，</w:t>
      </w:r>
      <w:r>
        <w:rPr>
          <w:rFonts w:ascii="宋体" w:hAnsi="宋体"/>
          <w:szCs w:val="21"/>
        </w:rPr>
        <w:t>包括以下二级及三级指标</w:t>
      </w:r>
    </w:p>
    <w:tbl>
      <w:tblPr>
        <w:tblStyle w:val="5"/>
        <w:tblW w:w="4677" w:type="dxa"/>
        <w:tblInd w:w="1555" w:type="dxa"/>
        <w:tblLayout w:type="autofit"/>
        <w:tblCellMar>
          <w:top w:w="0" w:type="dxa"/>
          <w:left w:w="108" w:type="dxa"/>
          <w:bottom w:w="0" w:type="dxa"/>
          <w:right w:w="108" w:type="dxa"/>
        </w:tblCellMar>
      </w:tblPr>
      <w:tblGrid>
        <w:gridCol w:w="992"/>
        <w:gridCol w:w="1559"/>
        <w:gridCol w:w="2126"/>
      </w:tblGrid>
      <w:tr>
        <w:tblPrEx>
          <w:tblCellMar>
            <w:top w:w="0" w:type="dxa"/>
            <w:left w:w="108" w:type="dxa"/>
            <w:bottom w:w="0" w:type="dxa"/>
            <w:right w:w="108" w:type="dxa"/>
          </w:tblCellMar>
        </w:tblPrEx>
        <w:trPr>
          <w:trHeight w:val="451" w:hRule="atLeast"/>
          <w:tblHeader/>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2" w:firstLineChars="15"/>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编号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ind w:firstLine="53" w:firstLineChars="25"/>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二级指标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三级指标</w:t>
            </w:r>
          </w:p>
        </w:tc>
      </w:tr>
      <w:tr>
        <w:tblPrEx>
          <w:tblCellMar>
            <w:top w:w="0" w:type="dxa"/>
            <w:left w:w="108" w:type="dxa"/>
            <w:bottom w:w="0" w:type="dxa"/>
            <w:right w:w="108" w:type="dxa"/>
          </w:tblCellMar>
        </w:tblPrEx>
        <w:trPr>
          <w:trHeight w:val="466"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1</w:t>
            </w:r>
          </w:p>
        </w:tc>
        <w:tc>
          <w:tcPr>
            <w:tcW w:w="1559" w:type="dxa"/>
            <w:vMerge w:val="restart"/>
            <w:tcBorders>
              <w:top w:val="nil"/>
              <w:left w:val="nil"/>
              <w:right w:val="single" w:color="auto" w:sz="4" w:space="0"/>
            </w:tcBorders>
            <w:shd w:val="clear" w:color="auto" w:fill="auto"/>
            <w:noWrap/>
            <w:vAlign w:val="center"/>
          </w:tcPr>
          <w:p>
            <w:pPr>
              <w:ind w:firstLine="52" w:firstLineChars="25"/>
              <w:jc w:val="center"/>
              <w:rPr>
                <w:rFonts w:ascii="宋体" w:hAnsi="宋体" w:cs="宋体"/>
                <w:color w:val="000000"/>
                <w:sz w:val="21"/>
                <w:szCs w:val="21"/>
              </w:rPr>
            </w:pPr>
            <w:r>
              <w:rPr>
                <w:rFonts w:hint="eastAsia" w:ascii="宋体" w:hAnsi="宋体" w:cs="宋体"/>
                <w:color w:val="000000"/>
                <w:sz w:val="21"/>
                <w:szCs w:val="21"/>
              </w:rPr>
              <w:t>传播内容</w:t>
            </w:r>
          </w:p>
        </w:tc>
        <w:tc>
          <w:tcPr>
            <w:tcW w:w="2126"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内容导向</w:t>
            </w:r>
          </w:p>
        </w:tc>
      </w:tr>
      <w:tr>
        <w:tblPrEx>
          <w:tblCellMar>
            <w:top w:w="0" w:type="dxa"/>
            <w:left w:w="108" w:type="dxa"/>
            <w:bottom w:w="0" w:type="dxa"/>
            <w:right w:w="108" w:type="dxa"/>
          </w:tblCellMar>
        </w:tblPrEx>
        <w:trPr>
          <w:trHeight w:val="544"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2</w:t>
            </w:r>
          </w:p>
        </w:tc>
        <w:tc>
          <w:tcPr>
            <w:tcW w:w="1559" w:type="dxa"/>
            <w:vMerge w:val="continue"/>
            <w:tcBorders>
              <w:left w:val="nil"/>
              <w:right w:val="single" w:color="auto" w:sz="4" w:space="0"/>
            </w:tcBorders>
            <w:shd w:val="clear" w:color="auto" w:fill="auto"/>
            <w:noWrap/>
            <w:vAlign w:val="center"/>
          </w:tcPr>
          <w:p>
            <w:pPr>
              <w:ind w:firstLine="52" w:firstLineChars="25"/>
              <w:jc w:val="center"/>
              <w:rPr>
                <w:rFonts w:ascii="宋体" w:hAnsi="宋体" w:cs="宋体"/>
                <w:color w:val="000000"/>
                <w:sz w:val="21"/>
                <w:szCs w:val="21"/>
              </w:rPr>
            </w:pPr>
          </w:p>
        </w:tc>
        <w:tc>
          <w:tcPr>
            <w:tcW w:w="2126"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内容设置</w:t>
            </w:r>
          </w:p>
        </w:tc>
      </w:tr>
      <w:tr>
        <w:tblPrEx>
          <w:tblCellMar>
            <w:top w:w="0" w:type="dxa"/>
            <w:left w:w="108" w:type="dxa"/>
            <w:bottom w:w="0" w:type="dxa"/>
            <w:right w:w="108" w:type="dxa"/>
          </w:tblCellMar>
        </w:tblPrEx>
        <w:trPr>
          <w:trHeight w:val="566"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3</w:t>
            </w:r>
          </w:p>
        </w:tc>
        <w:tc>
          <w:tcPr>
            <w:tcW w:w="1559" w:type="dxa"/>
            <w:vMerge w:val="continue"/>
            <w:tcBorders>
              <w:left w:val="nil"/>
              <w:right w:val="single" w:color="auto" w:sz="4" w:space="0"/>
            </w:tcBorders>
            <w:shd w:val="clear" w:color="auto" w:fill="auto"/>
            <w:noWrap/>
            <w:vAlign w:val="center"/>
          </w:tcPr>
          <w:p>
            <w:pPr>
              <w:ind w:firstLine="52" w:firstLineChars="25"/>
              <w:jc w:val="center"/>
              <w:rPr>
                <w:rFonts w:ascii="宋体" w:hAnsi="宋体" w:cs="宋体"/>
                <w:color w:val="000000"/>
                <w:sz w:val="21"/>
                <w:szCs w:val="21"/>
              </w:rPr>
            </w:pPr>
          </w:p>
        </w:tc>
        <w:tc>
          <w:tcPr>
            <w:tcW w:w="2126"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内容属性</w:t>
            </w:r>
          </w:p>
        </w:tc>
      </w:tr>
      <w:tr>
        <w:tblPrEx>
          <w:tblCellMar>
            <w:top w:w="0" w:type="dxa"/>
            <w:left w:w="108" w:type="dxa"/>
            <w:bottom w:w="0" w:type="dxa"/>
            <w:right w:w="108" w:type="dxa"/>
          </w:tblCellMar>
        </w:tblPrEx>
        <w:trPr>
          <w:trHeight w:val="418"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4</w:t>
            </w:r>
          </w:p>
        </w:tc>
        <w:tc>
          <w:tcPr>
            <w:tcW w:w="1559" w:type="dxa"/>
            <w:vMerge w:val="continue"/>
            <w:tcBorders>
              <w:left w:val="nil"/>
              <w:right w:val="single" w:color="auto" w:sz="4" w:space="0"/>
            </w:tcBorders>
            <w:shd w:val="clear" w:color="auto" w:fill="auto"/>
            <w:noWrap/>
            <w:vAlign w:val="center"/>
          </w:tcPr>
          <w:p>
            <w:pPr>
              <w:ind w:firstLine="52" w:firstLineChars="25"/>
              <w:jc w:val="center"/>
              <w:rPr>
                <w:rFonts w:ascii="宋体" w:hAnsi="宋体" w:cs="宋体"/>
                <w:color w:val="000000"/>
                <w:sz w:val="21"/>
                <w:szCs w:val="21"/>
              </w:rPr>
            </w:pPr>
          </w:p>
        </w:tc>
        <w:tc>
          <w:tcPr>
            <w:tcW w:w="2126"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歧视限定</w:t>
            </w:r>
          </w:p>
        </w:tc>
      </w:tr>
      <w:tr>
        <w:tblPrEx>
          <w:tblCellMar>
            <w:top w:w="0" w:type="dxa"/>
            <w:left w:w="108" w:type="dxa"/>
            <w:bottom w:w="0" w:type="dxa"/>
            <w:right w:w="108" w:type="dxa"/>
          </w:tblCellMar>
        </w:tblPrEx>
        <w:trPr>
          <w:trHeight w:val="303"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5</w:t>
            </w:r>
          </w:p>
        </w:tc>
        <w:tc>
          <w:tcPr>
            <w:tcW w:w="1559" w:type="dxa"/>
            <w:vMerge w:val="continue"/>
            <w:tcBorders>
              <w:left w:val="nil"/>
              <w:right w:val="single" w:color="auto" w:sz="4" w:space="0"/>
            </w:tcBorders>
            <w:shd w:val="clear" w:color="auto" w:fill="auto"/>
            <w:noWrap/>
            <w:vAlign w:val="center"/>
          </w:tcPr>
          <w:p>
            <w:pPr>
              <w:ind w:firstLine="52" w:firstLineChars="25"/>
              <w:jc w:val="center"/>
              <w:rPr>
                <w:rFonts w:ascii="宋体" w:hAnsi="宋体" w:cs="宋体"/>
                <w:color w:val="000000"/>
                <w:sz w:val="21"/>
                <w:szCs w:val="21"/>
              </w:rPr>
            </w:pPr>
          </w:p>
        </w:tc>
        <w:tc>
          <w:tcPr>
            <w:tcW w:w="2126"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违规操作</w:t>
            </w:r>
          </w:p>
        </w:tc>
      </w:tr>
      <w:tr>
        <w:tblPrEx>
          <w:tblCellMar>
            <w:top w:w="0" w:type="dxa"/>
            <w:left w:w="108" w:type="dxa"/>
            <w:bottom w:w="0" w:type="dxa"/>
            <w:right w:w="108" w:type="dxa"/>
          </w:tblCellMar>
        </w:tblPrEx>
        <w:trPr>
          <w:trHeight w:val="531"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6</w:t>
            </w:r>
          </w:p>
        </w:tc>
        <w:tc>
          <w:tcPr>
            <w:tcW w:w="1559" w:type="dxa"/>
            <w:vMerge w:val="continue"/>
            <w:tcBorders>
              <w:left w:val="nil"/>
              <w:bottom w:val="single" w:color="auto" w:sz="4" w:space="0"/>
              <w:right w:val="single" w:color="auto" w:sz="4" w:space="0"/>
            </w:tcBorders>
            <w:shd w:val="clear" w:color="auto" w:fill="auto"/>
            <w:noWrap/>
            <w:vAlign w:val="center"/>
          </w:tcPr>
          <w:p>
            <w:pPr>
              <w:ind w:firstLine="52" w:firstLineChars="25"/>
              <w:jc w:val="center"/>
              <w:rPr>
                <w:rFonts w:ascii="宋体" w:hAnsi="宋体" w:cs="宋体"/>
                <w:color w:val="000000"/>
                <w:sz w:val="21"/>
                <w:szCs w:val="21"/>
              </w:rPr>
            </w:pPr>
          </w:p>
        </w:tc>
        <w:tc>
          <w:tcPr>
            <w:tcW w:w="2126"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内容标注</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7</w:t>
            </w:r>
          </w:p>
        </w:tc>
        <w:tc>
          <w:tcPr>
            <w:tcW w:w="1559" w:type="dxa"/>
            <w:vMerge w:val="restart"/>
            <w:tcBorders>
              <w:top w:val="single" w:color="auto" w:sz="4" w:space="0"/>
              <w:left w:val="nil"/>
              <w:right w:val="single" w:color="auto" w:sz="4" w:space="0"/>
            </w:tcBorders>
            <w:shd w:val="clear" w:color="auto" w:fill="auto"/>
            <w:noWrap/>
            <w:vAlign w:val="center"/>
          </w:tcPr>
          <w:p>
            <w:pPr>
              <w:ind w:firstLine="52" w:firstLineChars="25"/>
              <w:jc w:val="center"/>
              <w:rPr>
                <w:rFonts w:ascii="宋体" w:hAnsi="宋体" w:cs="宋体"/>
                <w:color w:val="000000"/>
                <w:sz w:val="21"/>
                <w:szCs w:val="21"/>
              </w:rPr>
            </w:pPr>
            <w:r>
              <w:rPr>
                <w:rFonts w:hint="eastAsia" w:ascii="宋体" w:hAnsi="宋体" w:cs="宋体"/>
                <w:color w:val="000000"/>
                <w:sz w:val="21"/>
                <w:szCs w:val="21"/>
              </w:rPr>
              <w:t>传播方式</w:t>
            </w:r>
          </w:p>
        </w:tc>
        <w:tc>
          <w:tcPr>
            <w:tcW w:w="2126"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感官体验</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8</w:t>
            </w:r>
          </w:p>
        </w:tc>
        <w:tc>
          <w:tcPr>
            <w:tcW w:w="1559" w:type="dxa"/>
            <w:vMerge w:val="continue"/>
            <w:tcBorders>
              <w:left w:val="nil"/>
              <w:right w:val="single" w:color="auto" w:sz="4" w:space="0"/>
            </w:tcBorders>
            <w:shd w:val="clear" w:color="auto" w:fill="auto"/>
            <w:noWrap/>
            <w:vAlign w:val="center"/>
          </w:tcPr>
          <w:p>
            <w:pPr>
              <w:ind w:firstLine="52" w:firstLineChars="25"/>
              <w:jc w:val="center"/>
              <w:rPr>
                <w:rFonts w:ascii="宋体" w:hAnsi="宋体" w:cs="宋体"/>
                <w:color w:val="000000"/>
                <w:sz w:val="21"/>
                <w:szCs w:val="21"/>
              </w:rPr>
            </w:pPr>
          </w:p>
        </w:tc>
        <w:tc>
          <w:tcPr>
            <w:tcW w:w="2126"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算法推荐</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9</w:t>
            </w:r>
          </w:p>
        </w:tc>
        <w:tc>
          <w:tcPr>
            <w:tcW w:w="1559" w:type="dxa"/>
            <w:vMerge w:val="continue"/>
            <w:tcBorders>
              <w:left w:val="nil"/>
              <w:right w:val="single" w:color="auto" w:sz="4" w:space="0"/>
            </w:tcBorders>
            <w:shd w:val="clear" w:color="auto" w:fill="auto"/>
            <w:noWrap/>
            <w:vAlign w:val="center"/>
          </w:tcPr>
          <w:p>
            <w:pPr>
              <w:ind w:firstLine="52" w:firstLineChars="25"/>
              <w:jc w:val="center"/>
              <w:rPr>
                <w:rFonts w:ascii="宋体" w:hAnsi="宋体" w:cs="宋体"/>
                <w:color w:val="000000"/>
                <w:sz w:val="21"/>
                <w:szCs w:val="21"/>
              </w:rPr>
            </w:pPr>
          </w:p>
        </w:tc>
        <w:tc>
          <w:tcPr>
            <w:tcW w:w="2126"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推荐页面</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10</w:t>
            </w:r>
          </w:p>
        </w:tc>
        <w:tc>
          <w:tcPr>
            <w:tcW w:w="1559" w:type="dxa"/>
            <w:vMerge w:val="continue"/>
            <w:tcBorders>
              <w:left w:val="nil"/>
              <w:right w:val="single" w:color="auto" w:sz="4" w:space="0"/>
            </w:tcBorders>
            <w:shd w:val="clear" w:color="auto" w:fill="auto"/>
            <w:noWrap/>
            <w:vAlign w:val="center"/>
          </w:tcPr>
          <w:p>
            <w:pPr>
              <w:ind w:firstLine="52" w:firstLineChars="25"/>
              <w:jc w:val="center"/>
              <w:rPr>
                <w:rFonts w:ascii="宋体" w:hAnsi="宋体" w:cs="宋体"/>
                <w:color w:val="000000"/>
                <w:sz w:val="21"/>
                <w:szCs w:val="21"/>
              </w:rPr>
            </w:pPr>
          </w:p>
        </w:tc>
        <w:tc>
          <w:tcPr>
            <w:tcW w:w="2126"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算法合规</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11</w:t>
            </w:r>
          </w:p>
        </w:tc>
        <w:tc>
          <w:tcPr>
            <w:tcW w:w="1559" w:type="dxa"/>
            <w:vMerge w:val="continue"/>
            <w:tcBorders>
              <w:left w:val="nil"/>
              <w:right w:val="single" w:color="auto" w:sz="4" w:space="0"/>
            </w:tcBorders>
            <w:shd w:val="clear" w:color="auto" w:fill="auto"/>
            <w:noWrap/>
            <w:vAlign w:val="center"/>
          </w:tcPr>
          <w:p>
            <w:pPr>
              <w:ind w:firstLine="52" w:firstLineChars="25"/>
              <w:jc w:val="center"/>
              <w:rPr>
                <w:rFonts w:ascii="宋体" w:hAnsi="宋体" w:cs="宋体"/>
                <w:color w:val="000000"/>
                <w:sz w:val="21"/>
                <w:szCs w:val="21"/>
              </w:rPr>
            </w:pPr>
          </w:p>
        </w:tc>
        <w:tc>
          <w:tcPr>
            <w:tcW w:w="2126"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水军防控</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12</w:t>
            </w:r>
          </w:p>
        </w:tc>
        <w:tc>
          <w:tcPr>
            <w:tcW w:w="1559" w:type="dxa"/>
            <w:vMerge w:val="continue"/>
            <w:tcBorders>
              <w:left w:val="nil"/>
              <w:bottom w:val="single" w:color="auto" w:sz="4" w:space="0"/>
              <w:right w:val="single" w:color="auto" w:sz="4" w:space="0"/>
            </w:tcBorders>
            <w:shd w:val="clear" w:color="auto" w:fill="auto"/>
            <w:noWrap/>
            <w:vAlign w:val="center"/>
          </w:tcPr>
          <w:p>
            <w:pPr>
              <w:ind w:firstLine="52" w:firstLineChars="25"/>
              <w:jc w:val="center"/>
              <w:rPr>
                <w:rFonts w:ascii="宋体" w:hAnsi="宋体" w:cs="宋体"/>
                <w:color w:val="000000"/>
                <w:sz w:val="21"/>
                <w:szCs w:val="21"/>
              </w:rPr>
            </w:pPr>
          </w:p>
        </w:tc>
        <w:tc>
          <w:tcPr>
            <w:tcW w:w="2126" w:type="dxa"/>
            <w:tcBorders>
              <w:top w:val="nil"/>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搜索呈现</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ascii="等线" w:hAnsi="等线" w:eastAsia="等线" w:cs="宋体"/>
                <w:color w:val="000000"/>
                <w:sz w:val="21"/>
                <w:szCs w:val="21"/>
              </w:rPr>
              <w:t>13</w:t>
            </w:r>
          </w:p>
        </w:tc>
        <w:tc>
          <w:tcPr>
            <w:tcW w:w="1559" w:type="dxa"/>
            <w:vMerge w:val="restart"/>
            <w:tcBorders>
              <w:top w:val="single" w:color="auto" w:sz="4" w:space="0"/>
              <w:left w:val="nil"/>
              <w:right w:val="single" w:color="auto" w:sz="4" w:space="0"/>
            </w:tcBorders>
            <w:shd w:val="clear" w:color="auto" w:fill="auto"/>
            <w:noWrap/>
            <w:vAlign w:val="center"/>
          </w:tcPr>
          <w:p>
            <w:pPr>
              <w:ind w:firstLine="52" w:firstLineChars="25"/>
              <w:jc w:val="center"/>
              <w:rPr>
                <w:rFonts w:ascii="宋体" w:hAnsi="宋体" w:cs="宋体"/>
                <w:color w:val="000000"/>
                <w:sz w:val="21"/>
                <w:szCs w:val="21"/>
              </w:rPr>
            </w:pPr>
            <w:r>
              <w:rPr>
                <w:rFonts w:hint="eastAsia" w:ascii="宋体" w:hAnsi="宋体" w:cs="宋体"/>
                <w:color w:val="000000"/>
                <w:sz w:val="21"/>
                <w:szCs w:val="21"/>
              </w:rPr>
              <w:t>传播管理</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合成审核</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14</w:t>
            </w:r>
          </w:p>
        </w:tc>
        <w:tc>
          <w:tcPr>
            <w:tcW w:w="1559" w:type="dxa"/>
            <w:vMerge w:val="continue"/>
            <w:tcBorders>
              <w:left w:val="nil"/>
              <w:right w:val="single" w:color="auto" w:sz="4" w:space="0"/>
            </w:tcBorders>
            <w:shd w:val="clear" w:color="auto" w:fill="auto"/>
            <w:noWrap/>
            <w:vAlign w:val="center"/>
          </w:tcPr>
          <w:p>
            <w:pPr>
              <w:ind w:firstLine="420"/>
              <w:jc w:val="center"/>
              <w:rPr>
                <w:rFonts w:ascii="宋体" w:hAnsi="宋体" w:cs="宋体"/>
                <w:color w:val="000000"/>
                <w:sz w:val="21"/>
                <w:szCs w:val="21"/>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算法审核</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15</w:t>
            </w:r>
          </w:p>
        </w:tc>
        <w:tc>
          <w:tcPr>
            <w:tcW w:w="1559" w:type="dxa"/>
            <w:vMerge w:val="continue"/>
            <w:tcBorders>
              <w:left w:val="nil"/>
              <w:right w:val="single" w:color="auto" w:sz="4" w:space="0"/>
            </w:tcBorders>
            <w:shd w:val="clear" w:color="auto" w:fill="auto"/>
            <w:noWrap/>
            <w:vAlign w:val="center"/>
          </w:tcPr>
          <w:p>
            <w:pPr>
              <w:ind w:firstLine="420"/>
              <w:jc w:val="center"/>
              <w:rPr>
                <w:rFonts w:ascii="宋体" w:hAnsi="宋体" w:cs="宋体"/>
                <w:color w:val="000000"/>
                <w:sz w:val="21"/>
                <w:szCs w:val="21"/>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适龄管理</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16</w:t>
            </w:r>
          </w:p>
        </w:tc>
        <w:tc>
          <w:tcPr>
            <w:tcW w:w="1559" w:type="dxa"/>
            <w:vMerge w:val="continue"/>
            <w:tcBorders>
              <w:left w:val="nil"/>
              <w:right w:val="single" w:color="auto" w:sz="4" w:space="0"/>
            </w:tcBorders>
            <w:shd w:val="clear" w:color="auto" w:fill="auto"/>
            <w:noWrap/>
            <w:vAlign w:val="center"/>
          </w:tcPr>
          <w:p>
            <w:pPr>
              <w:ind w:firstLine="420"/>
              <w:jc w:val="center"/>
              <w:rPr>
                <w:rFonts w:ascii="宋体" w:hAnsi="宋体" w:cs="宋体"/>
                <w:color w:val="000000"/>
                <w:sz w:val="21"/>
                <w:szCs w:val="21"/>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安全管理</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17</w:t>
            </w:r>
          </w:p>
        </w:tc>
        <w:tc>
          <w:tcPr>
            <w:tcW w:w="1559" w:type="dxa"/>
            <w:vMerge w:val="continue"/>
            <w:tcBorders>
              <w:left w:val="nil"/>
              <w:right w:val="single" w:color="auto" w:sz="4" w:space="0"/>
            </w:tcBorders>
            <w:shd w:val="clear" w:color="auto" w:fill="auto"/>
            <w:noWrap/>
            <w:vAlign w:val="center"/>
          </w:tcPr>
          <w:p>
            <w:pPr>
              <w:ind w:firstLine="420"/>
              <w:jc w:val="center"/>
              <w:rPr>
                <w:rFonts w:ascii="宋体" w:hAnsi="宋体" w:cs="宋体"/>
                <w:color w:val="000000"/>
                <w:sz w:val="21"/>
                <w:szCs w:val="21"/>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用户记录</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18</w:t>
            </w:r>
          </w:p>
        </w:tc>
        <w:tc>
          <w:tcPr>
            <w:tcW w:w="1559" w:type="dxa"/>
            <w:vMerge w:val="continue"/>
            <w:tcBorders>
              <w:left w:val="nil"/>
              <w:right w:val="single" w:color="auto" w:sz="4" w:space="0"/>
            </w:tcBorders>
            <w:shd w:val="clear" w:color="auto" w:fill="auto"/>
            <w:noWrap/>
            <w:vAlign w:val="center"/>
          </w:tcPr>
          <w:p>
            <w:pPr>
              <w:ind w:firstLine="420"/>
              <w:jc w:val="center"/>
              <w:rPr>
                <w:rFonts w:ascii="宋体" w:hAnsi="宋体" w:cs="宋体"/>
                <w:color w:val="000000"/>
                <w:sz w:val="21"/>
                <w:szCs w:val="21"/>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用户标签</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hint="eastAsia" w:ascii="等线" w:hAnsi="等线" w:eastAsia="等线" w:cs="宋体"/>
                <w:color w:val="000000"/>
                <w:sz w:val="21"/>
                <w:szCs w:val="21"/>
              </w:rPr>
              <w:t>19</w:t>
            </w:r>
          </w:p>
        </w:tc>
        <w:tc>
          <w:tcPr>
            <w:tcW w:w="1559" w:type="dxa"/>
            <w:vMerge w:val="continue"/>
            <w:tcBorders>
              <w:left w:val="nil"/>
              <w:right w:val="single" w:color="auto" w:sz="4" w:space="0"/>
            </w:tcBorders>
            <w:shd w:val="clear" w:color="auto" w:fill="auto"/>
            <w:noWrap/>
            <w:vAlign w:val="center"/>
          </w:tcPr>
          <w:p>
            <w:pPr>
              <w:ind w:firstLine="420"/>
              <w:jc w:val="center"/>
              <w:rPr>
                <w:rFonts w:ascii="宋体" w:hAnsi="宋体" w:cs="宋体"/>
                <w:color w:val="000000"/>
                <w:sz w:val="21"/>
                <w:szCs w:val="21"/>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风险标注</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等线" w:hAnsi="等线" w:eastAsia="等线" w:cs="宋体"/>
                <w:color w:val="000000"/>
                <w:sz w:val="21"/>
                <w:szCs w:val="21"/>
              </w:rPr>
            </w:pPr>
            <w:r>
              <w:rPr>
                <w:rFonts w:ascii="等线" w:hAnsi="等线" w:eastAsia="等线" w:cs="宋体"/>
                <w:color w:val="000000"/>
                <w:sz w:val="21"/>
                <w:szCs w:val="21"/>
              </w:rPr>
              <w:t>20</w:t>
            </w:r>
          </w:p>
        </w:tc>
        <w:tc>
          <w:tcPr>
            <w:tcW w:w="1559" w:type="dxa"/>
            <w:vMerge w:val="continue"/>
            <w:tcBorders>
              <w:left w:val="nil"/>
              <w:bottom w:val="single" w:color="auto" w:sz="4" w:space="0"/>
              <w:right w:val="single" w:color="auto" w:sz="4" w:space="0"/>
            </w:tcBorders>
            <w:shd w:val="clear" w:color="auto" w:fill="auto"/>
            <w:noWrap/>
            <w:vAlign w:val="center"/>
          </w:tcPr>
          <w:p>
            <w:pPr>
              <w:ind w:firstLine="420"/>
              <w:jc w:val="center"/>
              <w:rPr>
                <w:rFonts w:ascii="宋体" w:hAnsi="宋体" w:cs="宋体"/>
                <w:color w:val="000000"/>
                <w:sz w:val="21"/>
                <w:szCs w:val="21"/>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jc w:val="center"/>
              <w:rPr>
                <w:rFonts w:ascii="宋体" w:hAnsi="宋体" w:cs="宋体"/>
                <w:color w:val="000000"/>
                <w:sz w:val="21"/>
                <w:szCs w:val="21"/>
              </w:rPr>
            </w:pPr>
            <w:r>
              <w:rPr>
                <w:rFonts w:hint="eastAsia" w:ascii="宋体" w:hAnsi="宋体" w:cs="宋体"/>
                <w:color w:val="000000"/>
                <w:sz w:val="21"/>
                <w:szCs w:val="21"/>
              </w:rPr>
              <w:t>风险提示</w:t>
            </w:r>
          </w:p>
        </w:tc>
      </w:tr>
    </w:tbl>
    <w:p>
      <w:pPr>
        <w:spacing w:before="120" w:beforeLines="50" w:after="120" w:afterLines="50"/>
        <w:ind w:firstLine="560"/>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w:t>
      </w:r>
      <w:r>
        <w:rPr>
          <w:rFonts w:ascii="宋体" w:hAnsi="宋体"/>
          <w:szCs w:val="21"/>
        </w:rPr>
        <w:t>5</w:t>
      </w:r>
      <w:r>
        <w:rPr>
          <w:rFonts w:hint="eastAsia" w:ascii="宋体" w:hAnsi="宋体"/>
          <w:szCs w:val="21"/>
        </w:rPr>
        <w:t xml:space="preserve"> 用户使用风险，</w:t>
      </w:r>
      <w:r>
        <w:rPr>
          <w:rFonts w:ascii="宋体" w:hAnsi="宋体"/>
          <w:szCs w:val="21"/>
        </w:rPr>
        <w:t>包括以下二级及三级指标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569"/>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shd w:val="clear" w:color="auto" w:fill="auto"/>
            <w:vAlign w:val="center"/>
          </w:tcPr>
          <w:p>
            <w:pPr>
              <w:ind w:firstLine="0" w:firstLineChars="0"/>
              <w:jc w:val="center"/>
              <w:rPr>
                <w:rFonts w:ascii="等线" w:hAnsi="等线" w:eastAsia="等线"/>
                <w:b/>
                <w:sz w:val="21"/>
                <w:szCs w:val="22"/>
              </w:rPr>
            </w:pPr>
            <w:r>
              <w:rPr>
                <w:rFonts w:hint="eastAsia" w:ascii="等线" w:hAnsi="等线" w:eastAsia="等线"/>
                <w:b/>
                <w:sz w:val="21"/>
                <w:szCs w:val="22"/>
              </w:rPr>
              <w:t>编号</w:t>
            </w:r>
          </w:p>
        </w:tc>
        <w:tc>
          <w:tcPr>
            <w:tcW w:w="1569" w:type="dxa"/>
            <w:shd w:val="clear" w:color="auto" w:fill="auto"/>
            <w:noWrap/>
            <w:vAlign w:val="center"/>
          </w:tcPr>
          <w:p>
            <w:pPr>
              <w:ind w:firstLine="25" w:firstLineChars="12"/>
              <w:jc w:val="center"/>
              <w:rPr>
                <w:rFonts w:ascii="等线" w:hAnsi="等线" w:eastAsia="等线"/>
                <w:b/>
                <w:sz w:val="21"/>
                <w:szCs w:val="22"/>
              </w:rPr>
            </w:pPr>
            <w:r>
              <w:rPr>
                <w:rFonts w:hint="eastAsia" w:ascii="等线" w:hAnsi="等线" w:eastAsia="等线"/>
                <w:b/>
                <w:sz w:val="21"/>
                <w:szCs w:val="22"/>
              </w:rPr>
              <w:t>二级指标</w:t>
            </w:r>
          </w:p>
        </w:tc>
        <w:tc>
          <w:tcPr>
            <w:tcW w:w="1974" w:type="dxa"/>
            <w:shd w:val="clear" w:color="auto" w:fill="auto"/>
            <w:vAlign w:val="center"/>
          </w:tcPr>
          <w:p>
            <w:pPr>
              <w:ind w:firstLine="17" w:firstLineChars="8"/>
              <w:jc w:val="center"/>
              <w:rPr>
                <w:rFonts w:ascii="等线" w:hAnsi="等线" w:eastAsia="等线"/>
                <w:b/>
                <w:sz w:val="21"/>
                <w:szCs w:val="22"/>
              </w:rPr>
            </w:pPr>
            <w:r>
              <w:rPr>
                <w:rFonts w:hint="eastAsia" w:ascii="等线" w:hAnsi="等线" w:eastAsia="等线"/>
                <w:b/>
                <w:sz w:val="21"/>
                <w:szCs w:val="22"/>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shd w:val="clear" w:color="auto" w:fill="auto"/>
            <w:vAlign w:val="bottom"/>
          </w:tcPr>
          <w:p>
            <w:pPr>
              <w:ind w:firstLine="0" w:firstLineChars="0"/>
              <w:jc w:val="center"/>
              <w:rPr>
                <w:rFonts w:ascii="等线" w:hAnsi="等线" w:eastAsia="等线"/>
                <w:sz w:val="21"/>
                <w:szCs w:val="22"/>
              </w:rPr>
            </w:pPr>
            <w:r>
              <w:rPr>
                <w:rFonts w:hint="eastAsia" w:ascii="等线" w:hAnsi="等线" w:eastAsia="等线"/>
                <w:sz w:val="21"/>
                <w:szCs w:val="22"/>
              </w:rPr>
              <w:t>1</w:t>
            </w:r>
          </w:p>
        </w:tc>
        <w:tc>
          <w:tcPr>
            <w:tcW w:w="1569" w:type="dxa"/>
            <w:vMerge w:val="restart"/>
            <w:shd w:val="clear" w:color="auto" w:fill="auto"/>
            <w:noWrap/>
            <w:vAlign w:val="center"/>
          </w:tcPr>
          <w:p>
            <w:pPr>
              <w:ind w:firstLine="25" w:firstLineChars="12"/>
              <w:jc w:val="center"/>
              <w:rPr>
                <w:rFonts w:ascii="宋体" w:hAnsi="宋体"/>
                <w:sz w:val="21"/>
                <w:szCs w:val="22"/>
              </w:rPr>
            </w:pPr>
            <w:r>
              <w:rPr>
                <w:rFonts w:hint="eastAsia" w:ascii="宋体" w:hAnsi="宋体"/>
                <w:sz w:val="21"/>
                <w:szCs w:val="22"/>
              </w:rPr>
              <w:t>用户信息安全</w:t>
            </w:r>
          </w:p>
        </w:tc>
        <w:tc>
          <w:tcPr>
            <w:tcW w:w="1974" w:type="dxa"/>
            <w:shd w:val="clear" w:color="auto" w:fill="auto"/>
            <w:vAlign w:val="bottom"/>
          </w:tcPr>
          <w:p>
            <w:pPr>
              <w:ind w:firstLine="16" w:firstLineChars="8"/>
              <w:jc w:val="center"/>
              <w:rPr>
                <w:rFonts w:ascii="宋体" w:hAnsi="宋体"/>
                <w:sz w:val="21"/>
                <w:szCs w:val="22"/>
              </w:rPr>
            </w:pPr>
            <w:r>
              <w:rPr>
                <w:rFonts w:hint="eastAsia" w:ascii="宋体" w:hAnsi="宋体"/>
                <w:sz w:val="21"/>
                <w:szCs w:val="22"/>
              </w:rPr>
              <w:t>身份信息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88" w:type="dxa"/>
            <w:shd w:val="clear" w:color="auto" w:fill="auto"/>
            <w:vAlign w:val="bottom"/>
          </w:tcPr>
          <w:p>
            <w:pPr>
              <w:ind w:firstLine="0" w:firstLineChars="0"/>
              <w:jc w:val="center"/>
              <w:rPr>
                <w:rFonts w:ascii="等线" w:hAnsi="等线" w:eastAsia="等线"/>
                <w:sz w:val="21"/>
                <w:szCs w:val="22"/>
              </w:rPr>
            </w:pPr>
            <w:r>
              <w:rPr>
                <w:rFonts w:hint="eastAsia" w:ascii="等线" w:hAnsi="等线" w:eastAsia="等线"/>
                <w:sz w:val="21"/>
                <w:szCs w:val="22"/>
              </w:rPr>
              <w:t>2</w:t>
            </w:r>
          </w:p>
        </w:tc>
        <w:tc>
          <w:tcPr>
            <w:tcW w:w="1569" w:type="dxa"/>
            <w:vMerge w:val="continue"/>
            <w:shd w:val="clear" w:color="auto" w:fill="auto"/>
            <w:vAlign w:val="bottom"/>
          </w:tcPr>
          <w:p>
            <w:pPr>
              <w:ind w:firstLine="25" w:firstLineChars="12"/>
              <w:jc w:val="center"/>
              <w:rPr>
                <w:rFonts w:ascii="宋体" w:hAnsi="宋体"/>
                <w:sz w:val="21"/>
                <w:szCs w:val="22"/>
              </w:rPr>
            </w:pPr>
          </w:p>
        </w:tc>
        <w:tc>
          <w:tcPr>
            <w:tcW w:w="1974" w:type="dxa"/>
            <w:shd w:val="clear" w:color="auto" w:fill="auto"/>
            <w:noWrap/>
            <w:vAlign w:val="bottom"/>
          </w:tcPr>
          <w:p>
            <w:pPr>
              <w:ind w:firstLine="16" w:firstLineChars="8"/>
              <w:jc w:val="center"/>
              <w:rPr>
                <w:rFonts w:ascii="宋体" w:hAnsi="宋体"/>
                <w:sz w:val="21"/>
                <w:szCs w:val="22"/>
              </w:rPr>
            </w:pPr>
            <w:r>
              <w:rPr>
                <w:rFonts w:hint="eastAsia" w:ascii="宋体" w:hAnsi="宋体"/>
                <w:sz w:val="21"/>
                <w:szCs w:val="22"/>
              </w:rPr>
              <w:t>个人隐私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88" w:type="dxa"/>
            <w:shd w:val="clear" w:color="auto" w:fill="auto"/>
            <w:vAlign w:val="bottom"/>
          </w:tcPr>
          <w:p>
            <w:pPr>
              <w:ind w:firstLine="0" w:firstLineChars="0"/>
              <w:jc w:val="center"/>
              <w:rPr>
                <w:rFonts w:ascii="等线" w:hAnsi="等线" w:eastAsia="等线"/>
                <w:sz w:val="21"/>
                <w:szCs w:val="22"/>
              </w:rPr>
            </w:pPr>
            <w:r>
              <w:rPr>
                <w:rFonts w:ascii="等线" w:hAnsi="等线" w:eastAsia="等线"/>
                <w:sz w:val="21"/>
                <w:szCs w:val="22"/>
              </w:rPr>
              <w:t>3</w:t>
            </w:r>
          </w:p>
        </w:tc>
        <w:tc>
          <w:tcPr>
            <w:tcW w:w="1569" w:type="dxa"/>
            <w:vMerge w:val="restart"/>
            <w:shd w:val="clear" w:color="auto" w:fill="auto"/>
            <w:vAlign w:val="center"/>
          </w:tcPr>
          <w:p>
            <w:pPr>
              <w:ind w:firstLine="25" w:firstLineChars="12"/>
              <w:jc w:val="center"/>
              <w:rPr>
                <w:rFonts w:ascii="宋体" w:hAnsi="宋体"/>
                <w:sz w:val="21"/>
                <w:szCs w:val="22"/>
              </w:rPr>
            </w:pPr>
            <w:r>
              <w:rPr>
                <w:rFonts w:hint="eastAsia" w:ascii="宋体" w:hAnsi="宋体"/>
                <w:sz w:val="21"/>
                <w:szCs w:val="22"/>
              </w:rPr>
              <w:t>未成年人用户保护</w:t>
            </w:r>
          </w:p>
        </w:tc>
        <w:tc>
          <w:tcPr>
            <w:tcW w:w="1974" w:type="dxa"/>
            <w:shd w:val="clear" w:color="auto" w:fill="auto"/>
            <w:vAlign w:val="bottom"/>
          </w:tcPr>
          <w:p>
            <w:pPr>
              <w:ind w:firstLine="16" w:firstLineChars="8"/>
              <w:jc w:val="center"/>
              <w:rPr>
                <w:rFonts w:ascii="宋体" w:hAnsi="宋体"/>
                <w:sz w:val="21"/>
                <w:szCs w:val="22"/>
              </w:rPr>
            </w:pPr>
            <w:r>
              <w:rPr>
                <w:rFonts w:hint="eastAsia" w:ascii="宋体" w:hAnsi="宋体"/>
                <w:sz w:val="21"/>
                <w:szCs w:val="22"/>
              </w:rPr>
              <w:t>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88" w:type="dxa"/>
            <w:shd w:val="clear" w:color="auto" w:fill="auto"/>
            <w:vAlign w:val="bottom"/>
          </w:tcPr>
          <w:p>
            <w:pPr>
              <w:ind w:firstLine="0" w:firstLineChars="0"/>
              <w:jc w:val="center"/>
              <w:rPr>
                <w:rFonts w:ascii="等线" w:hAnsi="等线" w:eastAsia="等线"/>
                <w:sz w:val="21"/>
                <w:szCs w:val="22"/>
              </w:rPr>
            </w:pPr>
            <w:r>
              <w:rPr>
                <w:rFonts w:hint="eastAsia" w:ascii="等线" w:hAnsi="等线" w:eastAsia="等线"/>
                <w:sz w:val="21"/>
                <w:szCs w:val="22"/>
              </w:rPr>
              <w:t>4</w:t>
            </w:r>
          </w:p>
        </w:tc>
        <w:tc>
          <w:tcPr>
            <w:tcW w:w="1569" w:type="dxa"/>
            <w:vMerge w:val="continue"/>
            <w:shd w:val="clear" w:color="auto" w:fill="auto"/>
            <w:vAlign w:val="bottom"/>
          </w:tcPr>
          <w:p>
            <w:pPr>
              <w:ind w:firstLine="420"/>
              <w:jc w:val="center"/>
              <w:rPr>
                <w:rFonts w:ascii="宋体" w:hAnsi="宋体"/>
                <w:sz w:val="21"/>
                <w:szCs w:val="22"/>
              </w:rPr>
            </w:pPr>
          </w:p>
        </w:tc>
        <w:tc>
          <w:tcPr>
            <w:tcW w:w="1974" w:type="dxa"/>
            <w:shd w:val="clear" w:color="auto" w:fill="auto"/>
            <w:vAlign w:val="bottom"/>
          </w:tcPr>
          <w:p>
            <w:pPr>
              <w:ind w:firstLine="16" w:firstLineChars="8"/>
              <w:jc w:val="center"/>
              <w:rPr>
                <w:rFonts w:ascii="宋体" w:hAnsi="宋体"/>
                <w:sz w:val="21"/>
                <w:szCs w:val="22"/>
              </w:rPr>
            </w:pPr>
            <w:r>
              <w:rPr>
                <w:rFonts w:hint="eastAsia" w:ascii="宋体" w:hAnsi="宋体"/>
                <w:sz w:val="21"/>
                <w:szCs w:val="22"/>
              </w:rPr>
              <w:t>适龄</w:t>
            </w:r>
            <w:r>
              <w:rPr>
                <w:rFonts w:ascii="宋体" w:hAnsi="宋体"/>
                <w:sz w:val="21"/>
                <w:szCs w:val="22"/>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8" w:type="dxa"/>
            <w:shd w:val="clear" w:color="auto" w:fill="auto"/>
            <w:vAlign w:val="bottom"/>
          </w:tcPr>
          <w:p>
            <w:pPr>
              <w:ind w:firstLine="0" w:firstLineChars="0"/>
              <w:jc w:val="center"/>
              <w:rPr>
                <w:rFonts w:ascii="等线" w:hAnsi="等线" w:eastAsia="等线"/>
                <w:sz w:val="21"/>
                <w:szCs w:val="22"/>
              </w:rPr>
            </w:pPr>
            <w:r>
              <w:rPr>
                <w:rFonts w:hint="eastAsia" w:ascii="等线" w:hAnsi="等线" w:eastAsia="等线"/>
                <w:sz w:val="21"/>
                <w:szCs w:val="22"/>
              </w:rPr>
              <w:t>5</w:t>
            </w:r>
          </w:p>
        </w:tc>
        <w:tc>
          <w:tcPr>
            <w:tcW w:w="1569" w:type="dxa"/>
            <w:vMerge w:val="continue"/>
            <w:shd w:val="clear" w:color="auto" w:fill="auto"/>
            <w:vAlign w:val="bottom"/>
          </w:tcPr>
          <w:p>
            <w:pPr>
              <w:ind w:firstLine="420"/>
              <w:jc w:val="center"/>
              <w:rPr>
                <w:rFonts w:ascii="宋体" w:hAnsi="宋体"/>
                <w:sz w:val="21"/>
                <w:szCs w:val="22"/>
              </w:rPr>
            </w:pPr>
          </w:p>
        </w:tc>
        <w:tc>
          <w:tcPr>
            <w:tcW w:w="1974" w:type="dxa"/>
            <w:shd w:val="clear" w:color="auto" w:fill="auto"/>
            <w:vAlign w:val="bottom"/>
          </w:tcPr>
          <w:p>
            <w:pPr>
              <w:ind w:firstLine="16" w:firstLineChars="8"/>
              <w:jc w:val="center"/>
              <w:rPr>
                <w:rFonts w:ascii="宋体" w:hAnsi="宋体"/>
                <w:sz w:val="21"/>
                <w:szCs w:val="22"/>
              </w:rPr>
            </w:pPr>
            <w:r>
              <w:rPr>
                <w:rFonts w:hint="eastAsia" w:ascii="宋体" w:hAnsi="宋体"/>
                <w:sz w:val="21"/>
                <w:szCs w:val="22"/>
              </w:rPr>
              <w:t>内容推送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8" w:type="dxa"/>
            <w:shd w:val="clear" w:color="auto" w:fill="auto"/>
            <w:vAlign w:val="bottom"/>
          </w:tcPr>
          <w:p>
            <w:pPr>
              <w:ind w:firstLine="0" w:firstLineChars="0"/>
              <w:jc w:val="center"/>
              <w:rPr>
                <w:rFonts w:ascii="等线" w:hAnsi="等线" w:eastAsia="等线"/>
                <w:sz w:val="21"/>
                <w:szCs w:val="22"/>
              </w:rPr>
            </w:pPr>
            <w:r>
              <w:rPr>
                <w:rFonts w:hint="eastAsia" w:ascii="等线" w:hAnsi="等线" w:eastAsia="等线"/>
                <w:sz w:val="21"/>
                <w:szCs w:val="22"/>
              </w:rPr>
              <w:t>6</w:t>
            </w:r>
          </w:p>
        </w:tc>
        <w:tc>
          <w:tcPr>
            <w:tcW w:w="1569" w:type="dxa"/>
            <w:vMerge w:val="restart"/>
            <w:shd w:val="clear" w:color="auto" w:fill="auto"/>
            <w:vAlign w:val="center"/>
          </w:tcPr>
          <w:p>
            <w:pPr>
              <w:ind w:leftChars="-39" w:hanging="109" w:hangingChars="52"/>
              <w:jc w:val="center"/>
              <w:rPr>
                <w:rFonts w:ascii="宋体" w:hAnsi="宋体"/>
                <w:sz w:val="21"/>
                <w:szCs w:val="22"/>
              </w:rPr>
            </w:pPr>
            <w:r>
              <w:rPr>
                <w:rFonts w:hint="eastAsia" w:ascii="宋体" w:hAnsi="宋体"/>
                <w:sz w:val="21"/>
                <w:szCs w:val="22"/>
              </w:rPr>
              <w:t>老年人用户保护</w:t>
            </w:r>
          </w:p>
        </w:tc>
        <w:tc>
          <w:tcPr>
            <w:tcW w:w="1974" w:type="dxa"/>
            <w:shd w:val="clear" w:color="auto" w:fill="auto"/>
            <w:vAlign w:val="center"/>
          </w:tcPr>
          <w:p>
            <w:pPr>
              <w:ind w:leftChars="-39" w:hanging="109" w:hangingChars="52"/>
              <w:jc w:val="center"/>
              <w:rPr>
                <w:rFonts w:ascii="宋体" w:hAnsi="宋体"/>
                <w:sz w:val="21"/>
                <w:szCs w:val="22"/>
              </w:rPr>
            </w:pPr>
            <w:r>
              <w:rPr>
                <w:rFonts w:hint="eastAsia" w:ascii="宋体" w:hAnsi="宋体"/>
                <w:sz w:val="21"/>
                <w:szCs w:val="22"/>
              </w:rPr>
              <w:t>权益</w:t>
            </w:r>
            <w:r>
              <w:rPr>
                <w:rFonts w:ascii="宋体" w:hAnsi="宋体"/>
                <w:sz w:val="21"/>
                <w:szCs w:val="22"/>
              </w:rPr>
              <w:t>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8" w:type="dxa"/>
            <w:shd w:val="clear" w:color="auto" w:fill="auto"/>
            <w:vAlign w:val="bottom"/>
          </w:tcPr>
          <w:p>
            <w:pPr>
              <w:ind w:firstLine="0" w:firstLineChars="0"/>
              <w:jc w:val="center"/>
              <w:rPr>
                <w:rFonts w:ascii="等线" w:hAnsi="等线" w:eastAsia="等线"/>
                <w:sz w:val="21"/>
                <w:szCs w:val="22"/>
              </w:rPr>
            </w:pPr>
            <w:r>
              <w:rPr>
                <w:rFonts w:hint="eastAsia" w:ascii="等线" w:hAnsi="等线" w:eastAsia="等线"/>
                <w:sz w:val="21"/>
                <w:szCs w:val="22"/>
              </w:rPr>
              <w:t>7</w:t>
            </w:r>
          </w:p>
        </w:tc>
        <w:tc>
          <w:tcPr>
            <w:tcW w:w="1569" w:type="dxa"/>
            <w:vMerge w:val="continue"/>
            <w:shd w:val="clear" w:color="auto" w:fill="auto"/>
            <w:vAlign w:val="center"/>
          </w:tcPr>
          <w:p>
            <w:pPr>
              <w:ind w:leftChars="-39" w:hanging="109" w:hangingChars="52"/>
              <w:jc w:val="center"/>
              <w:rPr>
                <w:rFonts w:ascii="宋体" w:hAnsi="宋体"/>
                <w:sz w:val="21"/>
                <w:szCs w:val="22"/>
              </w:rPr>
            </w:pPr>
          </w:p>
        </w:tc>
        <w:tc>
          <w:tcPr>
            <w:tcW w:w="1974" w:type="dxa"/>
            <w:shd w:val="clear" w:color="auto" w:fill="auto"/>
            <w:vAlign w:val="center"/>
          </w:tcPr>
          <w:p>
            <w:pPr>
              <w:ind w:leftChars="-39" w:hanging="109" w:hangingChars="52"/>
              <w:jc w:val="center"/>
              <w:rPr>
                <w:rFonts w:ascii="宋体" w:hAnsi="宋体"/>
                <w:sz w:val="21"/>
                <w:szCs w:val="22"/>
              </w:rPr>
            </w:pPr>
            <w:r>
              <w:rPr>
                <w:rFonts w:hint="eastAsia" w:ascii="宋体" w:hAnsi="宋体"/>
                <w:sz w:val="21"/>
                <w:szCs w:val="22"/>
              </w:rPr>
              <w:t>防止欺诈</w:t>
            </w:r>
          </w:p>
        </w:tc>
      </w:tr>
    </w:tbl>
    <w:p>
      <w:pPr>
        <w:spacing w:before="120" w:beforeLines="50" w:after="120" w:afterLines="50"/>
        <w:ind w:firstLine="0" w:firstLineChars="0"/>
        <w:rPr>
          <w:rFonts w:ascii="宋体" w:hAnsi="宋体"/>
          <w:szCs w:val="21"/>
        </w:rPr>
      </w:pPr>
    </w:p>
    <w:p>
      <w:pPr>
        <w:tabs>
          <w:tab w:val="left" w:pos="1275"/>
        </w:tabs>
        <w:ind w:firstLine="560" w:firstLineChars="0"/>
        <w:rPr>
          <w:rFonts w:asciiTheme="minorEastAsia" w:hAnsiTheme="minorEastAsia" w:eastAsiaTheme="minorEastAsia"/>
          <w:b/>
        </w:rPr>
      </w:pPr>
      <w:bookmarkStart w:id="2" w:name="_Toc139356485"/>
      <w:r>
        <w:rPr>
          <w:rFonts w:hint="eastAsia" w:asciiTheme="minorEastAsia" w:hAnsiTheme="minorEastAsia" w:eastAsiaTheme="minorEastAsia"/>
          <w:b/>
        </w:rPr>
        <w:t>2.5评估方法</w:t>
      </w:r>
      <w:bookmarkEnd w:id="2"/>
    </w:p>
    <w:p>
      <w:pPr>
        <w:widowControl/>
        <w:autoSpaceDE w:val="0"/>
        <w:autoSpaceDN w:val="0"/>
        <w:ind w:firstLine="560"/>
        <w:rPr>
          <w:rFonts w:ascii="宋体" w:hAnsi="宋体"/>
          <w:szCs w:val="21"/>
        </w:rPr>
      </w:pPr>
      <w:r>
        <w:rPr>
          <w:rFonts w:hint="eastAsia" w:ascii="宋体" w:hAnsi="宋体"/>
          <w:szCs w:val="21"/>
        </w:rPr>
        <w:t>风险评估工作中风险</w:t>
      </w:r>
      <w:r>
        <w:rPr>
          <w:rFonts w:ascii="宋体" w:hAnsi="宋体"/>
          <w:szCs w:val="21"/>
        </w:rPr>
        <w:t>识别</w:t>
      </w:r>
      <w:r>
        <w:rPr>
          <w:rFonts w:hint="eastAsia" w:ascii="宋体" w:hAnsi="宋体"/>
          <w:szCs w:val="21"/>
        </w:rPr>
        <w:t>、</w:t>
      </w:r>
      <w:r>
        <w:rPr>
          <w:rFonts w:ascii="宋体" w:hAnsi="宋体"/>
          <w:szCs w:val="21"/>
        </w:rPr>
        <w:t>风险</w:t>
      </w:r>
      <w:r>
        <w:rPr>
          <w:rFonts w:hint="eastAsia" w:ascii="宋体" w:hAnsi="宋体"/>
          <w:szCs w:val="21"/>
        </w:rPr>
        <w:t>分析</w:t>
      </w:r>
      <w:r>
        <w:rPr>
          <w:rFonts w:ascii="宋体" w:hAnsi="宋体"/>
          <w:szCs w:val="21"/>
        </w:rPr>
        <w:t>、风险</w:t>
      </w:r>
      <w:r>
        <w:rPr>
          <w:rFonts w:hint="eastAsia" w:ascii="宋体" w:hAnsi="宋体"/>
          <w:szCs w:val="21"/>
        </w:rPr>
        <w:t>评估主要应用方法包括风险清单分析法、列表</w:t>
      </w:r>
      <w:r>
        <w:rPr>
          <w:rFonts w:hint="eastAsia" w:asciiTheme="minorEastAsia" w:hAnsiTheme="minorEastAsia" w:eastAsiaTheme="minorEastAsia"/>
        </w:rPr>
        <w:t>检查法、专家调查法、结构化访谈法、情景分析法、德尔菲法、专家综合打分法等。</w:t>
      </w:r>
    </w:p>
    <w:p>
      <w:pPr>
        <w:tabs>
          <w:tab w:val="left" w:pos="1275"/>
        </w:tabs>
        <w:ind w:firstLine="560" w:firstLineChars="0"/>
        <w:rPr>
          <w:rFonts w:asciiTheme="minorEastAsia" w:hAnsiTheme="minorEastAsia" w:eastAsiaTheme="minorEastAsia"/>
          <w:b/>
        </w:rPr>
      </w:pPr>
      <w:bookmarkStart w:id="3" w:name="_Toc139356486"/>
      <w:r>
        <w:rPr>
          <w:rFonts w:hint="eastAsia" w:asciiTheme="minorEastAsia" w:hAnsiTheme="minorEastAsia" w:eastAsiaTheme="minorEastAsia"/>
          <w:b/>
        </w:rPr>
        <w:t>2.6评估流程</w:t>
      </w:r>
      <w:bookmarkEnd w:id="3"/>
    </w:p>
    <w:p>
      <w:pPr>
        <w:widowControl/>
        <w:spacing w:before="120" w:beforeLines="50" w:after="120" w:afterLines="50" w:line="240" w:lineRule="auto"/>
        <w:ind w:left="200" w:firstLine="420" w:firstLineChars="150"/>
        <w:jc w:val="left"/>
        <w:outlineLvl w:val="1"/>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6.1概述</w:t>
      </w:r>
    </w:p>
    <w:p>
      <w:pPr>
        <w:widowControl/>
        <w:autoSpaceDE w:val="0"/>
        <w:autoSpaceDN w:val="0"/>
        <w:spacing w:line="240" w:lineRule="auto"/>
        <w:ind w:firstLine="560"/>
        <w:rPr>
          <w:rFonts w:asciiTheme="minorEastAsia" w:hAnsiTheme="minorEastAsia" w:eastAsiaTheme="minorEastAsia"/>
        </w:rPr>
      </w:pPr>
      <w:r>
        <w:rPr>
          <w:rFonts w:hint="eastAsia" w:asciiTheme="minorEastAsia" w:hAnsiTheme="minorEastAsia" w:eastAsiaTheme="minorEastAsia"/>
        </w:rPr>
        <w:t>元宇宙内容</w:t>
      </w:r>
      <w:r>
        <w:rPr>
          <w:rFonts w:asciiTheme="minorEastAsia" w:hAnsiTheme="minorEastAsia" w:eastAsiaTheme="minorEastAsia"/>
        </w:rPr>
        <w:t>风险评估</w:t>
      </w:r>
      <w:r>
        <w:rPr>
          <w:rFonts w:hint="eastAsia" w:asciiTheme="minorEastAsia" w:hAnsiTheme="minorEastAsia" w:eastAsiaTheme="minorEastAsia"/>
        </w:rPr>
        <w:t>流程</w:t>
      </w:r>
      <w:r>
        <w:rPr>
          <w:rFonts w:asciiTheme="minorEastAsia" w:hAnsiTheme="minorEastAsia" w:eastAsiaTheme="minorEastAsia"/>
        </w:rPr>
        <w:t>一般包括：</w:t>
      </w:r>
      <w:r>
        <w:rPr>
          <w:rFonts w:hint="eastAsia" w:asciiTheme="minorEastAsia" w:hAnsiTheme="minorEastAsia" w:eastAsiaTheme="minorEastAsia"/>
        </w:rPr>
        <w:t>准备工作</w:t>
      </w:r>
      <w:r>
        <w:rPr>
          <w:rFonts w:asciiTheme="minorEastAsia" w:hAnsiTheme="minorEastAsia" w:eastAsiaTheme="minorEastAsia"/>
        </w:rPr>
        <w:t>、</w:t>
      </w:r>
      <w:r>
        <w:rPr>
          <w:rFonts w:hint="eastAsia" w:asciiTheme="minorEastAsia" w:hAnsiTheme="minorEastAsia" w:eastAsiaTheme="minorEastAsia"/>
        </w:rPr>
        <w:t>风险</w:t>
      </w:r>
      <w:r>
        <w:rPr>
          <w:rFonts w:asciiTheme="minorEastAsia" w:hAnsiTheme="minorEastAsia" w:eastAsiaTheme="minorEastAsia"/>
        </w:rPr>
        <w:t>识别、风险分析、</w:t>
      </w:r>
      <w:r>
        <w:rPr>
          <w:rFonts w:hint="eastAsia" w:asciiTheme="minorEastAsia" w:hAnsiTheme="minorEastAsia" w:eastAsiaTheme="minorEastAsia"/>
        </w:rPr>
        <w:t>风险评估</w:t>
      </w:r>
      <w:r>
        <w:rPr>
          <w:rFonts w:asciiTheme="minorEastAsia" w:hAnsiTheme="minorEastAsia" w:eastAsiaTheme="minorEastAsia"/>
        </w:rPr>
        <w:t>、报告</w:t>
      </w:r>
      <w:r>
        <w:rPr>
          <w:rFonts w:hint="eastAsia" w:asciiTheme="minorEastAsia" w:hAnsiTheme="minorEastAsia" w:eastAsiaTheme="minorEastAsia"/>
        </w:rPr>
        <w:t>编制</w:t>
      </w:r>
      <w:r>
        <w:rPr>
          <w:rFonts w:asciiTheme="minorEastAsia" w:hAnsiTheme="minorEastAsia" w:eastAsiaTheme="minorEastAsia"/>
        </w:rPr>
        <w:t>等</w:t>
      </w:r>
      <w:r>
        <w:rPr>
          <w:rFonts w:hint="eastAsia" w:asciiTheme="minorEastAsia" w:hAnsiTheme="minorEastAsia" w:eastAsiaTheme="minorEastAsia"/>
        </w:rPr>
        <w:t>。</w:t>
      </w:r>
    </w:p>
    <w:p>
      <w:pPr>
        <w:widowControl/>
        <w:spacing w:before="120" w:beforeLines="50" w:after="120" w:afterLines="50" w:line="240" w:lineRule="auto"/>
        <w:ind w:firstLine="560"/>
        <w:jc w:val="left"/>
        <w:outlineLvl w:val="1"/>
        <w:rPr>
          <w:rFonts w:asciiTheme="minorEastAsia" w:hAnsiTheme="minorEastAsia" w:eastAsiaTheme="minorEastAsia"/>
        </w:rPr>
      </w:pPr>
      <w:r>
        <w:rPr>
          <w:rFonts w:hint="eastAsia" w:asciiTheme="minorEastAsia" w:hAnsiTheme="minorEastAsia" w:eastAsiaTheme="minorEastAsia"/>
        </w:rPr>
        <w:t>2.6.2准备工作</w:t>
      </w:r>
    </w:p>
    <w:p>
      <w:pPr>
        <w:widowControl/>
        <w:spacing w:before="120" w:beforeLines="50" w:after="120" w:afterLines="50" w:line="240" w:lineRule="auto"/>
        <w:ind w:firstLine="560"/>
        <w:jc w:val="left"/>
        <w:outlineLvl w:val="1"/>
        <w:rPr>
          <w:rFonts w:asciiTheme="minorEastAsia" w:hAnsiTheme="minorEastAsia" w:eastAsiaTheme="minorEastAsia"/>
        </w:rPr>
      </w:pPr>
      <w:r>
        <w:rPr>
          <w:rFonts w:hint="eastAsia" w:asciiTheme="minorEastAsia" w:hAnsiTheme="minorEastAsia" w:eastAsiaTheme="minorEastAsia"/>
        </w:rPr>
        <w:t>（1）评估机构组成</w:t>
      </w:r>
    </w:p>
    <w:p>
      <w:pPr>
        <w:widowControl/>
        <w:autoSpaceDE w:val="0"/>
        <w:autoSpaceDN w:val="0"/>
        <w:spacing w:line="240" w:lineRule="auto"/>
        <w:ind w:firstLine="560"/>
        <w:rPr>
          <w:rFonts w:asciiTheme="minorEastAsia" w:hAnsiTheme="minorEastAsia" w:eastAsiaTheme="minorEastAsia"/>
        </w:rPr>
      </w:pPr>
      <w:r>
        <w:rPr>
          <w:rFonts w:hint="eastAsia" w:asciiTheme="minorEastAsia" w:hAnsiTheme="minorEastAsia" w:eastAsiaTheme="minorEastAsia"/>
        </w:rPr>
        <w:t>委托</w:t>
      </w:r>
      <w:r>
        <w:rPr>
          <w:rFonts w:asciiTheme="minorEastAsia" w:hAnsiTheme="minorEastAsia" w:eastAsiaTheme="minorEastAsia"/>
        </w:rPr>
        <w:t>一支覆盖互联网治理、网络传播、元宇宙等领域</w:t>
      </w:r>
      <w:r>
        <w:rPr>
          <w:rFonts w:hint="eastAsia" w:asciiTheme="minorEastAsia" w:hAnsiTheme="minorEastAsia" w:eastAsiaTheme="minorEastAsia"/>
        </w:rPr>
        <w:t>，</w:t>
      </w:r>
      <w:r>
        <w:rPr>
          <w:rFonts w:asciiTheme="minorEastAsia" w:hAnsiTheme="minorEastAsia" w:eastAsiaTheme="minorEastAsia"/>
        </w:rPr>
        <w:t>具有风险评估资质的专业评估机构。</w:t>
      </w:r>
    </w:p>
    <w:p>
      <w:pPr>
        <w:widowControl/>
        <w:spacing w:before="120" w:beforeLines="50" w:after="120" w:afterLines="50" w:line="240" w:lineRule="auto"/>
        <w:ind w:left="420" w:firstLine="140" w:firstLineChars="50"/>
        <w:jc w:val="left"/>
        <w:outlineLvl w:val="1"/>
        <w:rPr>
          <w:rFonts w:asciiTheme="minorEastAsia" w:hAnsiTheme="minorEastAsia" w:eastAsiaTheme="minorEastAsia"/>
        </w:rPr>
      </w:pPr>
      <w:r>
        <w:rPr>
          <w:rFonts w:hint="eastAsia" w:asciiTheme="minorEastAsia" w:hAnsiTheme="minorEastAsia" w:eastAsiaTheme="minorEastAsia"/>
        </w:rPr>
        <w:t>（2）评估方案设计</w:t>
      </w:r>
    </w:p>
    <w:p>
      <w:pPr>
        <w:widowControl/>
        <w:autoSpaceDE w:val="0"/>
        <w:autoSpaceDN w:val="0"/>
        <w:spacing w:line="240" w:lineRule="auto"/>
        <w:ind w:firstLine="560"/>
        <w:rPr>
          <w:rFonts w:asciiTheme="minorEastAsia" w:hAnsiTheme="minorEastAsia" w:eastAsiaTheme="minorEastAsia"/>
        </w:rPr>
      </w:pPr>
      <w:r>
        <w:rPr>
          <w:rFonts w:hint="eastAsia" w:asciiTheme="minorEastAsia" w:hAnsiTheme="minorEastAsia" w:eastAsiaTheme="minorEastAsia"/>
        </w:rPr>
        <w:t>评估</w:t>
      </w:r>
      <w:r>
        <w:rPr>
          <w:rFonts w:asciiTheme="minorEastAsia" w:hAnsiTheme="minorEastAsia" w:eastAsiaTheme="minorEastAsia"/>
        </w:rPr>
        <w:t>机构</w:t>
      </w:r>
      <w:r>
        <w:rPr>
          <w:rFonts w:hint="eastAsia" w:asciiTheme="minorEastAsia" w:hAnsiTheme="minorEastAsia" w:eastAsiaTheme="minorEastAsia"/>
        </w:rPr>
        <w:t>依据评估对象的特点完成方案</w:t>
      </w:r>
      <w:r>
        <w:rPr>
          <w:rFonts w:asciiTheme="minorEastAsia" w:hAnsiTheme="minorEastAsia" w:eastAsiaTheme="minorEastAsia"/>
        </w:rPr>
        <w:t>制定</w:t>
      </w:r>
      <w:r>
        <w:rPr>
          <w:rFonts w:hint="eastAsia" w:asciiTheme="minorEastAsia" w:hAnsiTheme="minorEastAsia" w:eastAsiaTheme="minorEastAsia"/>
        </w:rPr>
        <w:t>，</w:t>
      </w:r>
      <w:r>
        <w:rPr>
          <w:rFonts w:asciiTheme="minorEastAsia" w:hAnsiTheme="minorEastAsia" w:eastAsiaTheme="minorEastAsia"/>
        </w:rPr>
        <w:t>确定</w:t>
      </w:r>
      <w:r>
        <w:rPr>
          <w:rFonts w:hint="eastAsia" w:asciiTheme="minorEastAsia" w:hAnsiTheme="minorEastAsia" w:eastAsiaTheme="minorEastAsia"/>
        </w:rPr>
        <w:t>风险评估</w:t>
      </w:r>
      <w:r>
        <w:rPr>
          <w:rFonts w:asciiTheme="minorEastAsia" w:hAnsiTheme="minorEastAsia" w:eastAsiaTheme="minorEastAsia"/>
        </w:rPr>
        <w:t>对象的</w:t>
      </w:r>
      <w:r>
        <w:rPr>
          <w:rFonts w:hint="eastAsia" w:asciiTheme="minorEastAsia" w:hAnsiTheme="minorEastAsia" w:eastAsiaTheme="minorEastAsia"/>
        </w:rPr>
        <w:t>目标</w:t>
      </w:r>
      <w:r>
        <w:rPr>
          <w:rFonts w:asciiTheme="minorEastAsia" w:hAnsiTheme="minorEastAsia" w:eastAsiaTheme="minorEastAsia"/>
        </w:rPr>
        <w:t>、范围</w:t>
      </w:r>
      <w:r>
        <w:rPr>
          <w:rFonts w:hint="eastAsia" w:asciiTheme="minorEastAsia" w:hAnsiTheme="minorEastAsia" w:eastAsiaTheme="minorEastAsia"/>
        </w:rPr>
        <w:t>及</w:t>
      </w:r>
      <w:r>
        <w:rPr>
          <w:rFonts w:asciiTheme="minorEastAsia" w:hAnsiTheme="minorEastAsia" w:eastAsiaTheme="minorEastAsia"/>
        </w:rPr>
        <w:t>时限</w:t>
      </w:r>
      <w:r>
        <w:rPr>
          <w:rFonts w:hint="eastAsia" w:asciiTheme="minorEastAsia" w:hAnsiTheme="minorEastAsia" w:eastAsiaTheme="minorEastAsia"/>
        </w:rPr>
        <w:t>。</w:t>
      </w:r>
    </w:p>
    <w:p>
      <w:pPr>
        <w:widowControl/>
        <w:spacing w:before="120" w:beforeLines="50" w:after="120" w:afterLines="50" w:line="240" w:lineRule="auto"/>
        <w:ind w:firstLine="618" w:firstLineChars="221"/>
        <w:jc w:val="left"/>
        <w:outlineLvl w:val="1"/>
        <w:rPr>
          <w:rFonts w:asciiTheme="minorEastAsia" w:hAnsiTheme="minorEastAsia" w:eastAsiaTheme="minorEastAsia"/>
        </w:rPr>
      </w:pPr>
      <w:r>
        <w:rPr>
          <w:rFonts w:hint="eastAsia" w:asciiTheme="minorEastAsia" w:hAnsiTheme="minorEastAsia" w:eastAsiaTheme="minorEastAsia"/>
        </w:rPr>
        <w:t>（3）风险资料</w:t>
      </w:r>
      <w:r>
        <w:rPr>
          <w:rFonts w:asciiTheme="minorEastAsia" w:hAnsiTheme="minorEastAsia" w:eastAsiaTheme="minorEastAsia"/>
        </w:rPr>
        <w:t>收集</w:t>
      </w:r>
    </w:p>
    <w:p>
      <w:pPr>
        <w:widowControl/>
        <w:autoSpaceDE w:val="0"/>
        <w:autoSpaceDN w:val="0"/>
        <w:spacing w:line="240" w:lineRule="auto"/>
        <w:ind w:firstLine="560"/>
        <w:rPr>
          <w:rFonts w:asciiTheme="minorEastAsia" w:hAnsiTheme="minorEastAsia" w:eastAsiaTheme="minorEastAsia"/>
        </w:rPr>
      </w:pPr>
      <w:r>
        <w:rPr>
          <w:rFonts w:asciiTheme="minorEastAsia" w:hAnsiTheme="minorEastAsia" w:eastAsiaTheme="minorEastAsia"/>
        </w:rPr>
        <w:t>基于</w:t>
      </w:r>
      <w:r>
        <w:rPr>
          <w:rFonts w:hint="eastAsia" w:asciiTheme="minorEastAsia" w:hAnsiTheme="minorEastAsia" w:eastAsiaTheme="minorEastAsia"/>
        </w:rPr>
        <w:t>元宇宙</w:t>
      </w:r>
      <w:r>
        <w:rPr>
          <w:rFonts w:asciiTheme="minorEastAsia" w:hAnsiTheme="minorEastAsia" w:eastAsiaTheme="minorEastAsia"/>
        </w:rPr>
        <w:t>内容风险</w:t>
      </w:r>
      <w:r>
        <w:rPr>
          <w:rFonts w:hint="eastAsia" w:asciiTheme="minorEastAsia" w:hAnsiTheme="minorEastAsia" w:eastAsiaTheme="minorEastAsia"/>
        </w:rPr>
        <w:t>评估指标</w:t>
      </w:r>
      <w:r>
        <w:rPr>
          <w:rFonts w:asciiTheme="minorEastAsia" w:hAnsiTheme="minorEastAsia" w:eastAsiaTheme="minorEastAsia"/>
        </w:rPr>
        <w:t>体系</w:t>
      </w:r>
      <w:r>
        <w:rPr>
          <w:rFonts w:hint="eastAsia" w:asciiTheme="minorEastAsia" w:hAnsiTheme="minorEastAsia" w:eastAsiaTheme="minorEastAsia"/>
        </w:rPr>
        <w:t>评估</w:t>
      </w:r>
      <w:r>
        <w:rPr>
          <w:rFonts w:asciiTheme="minorEastAsia" w:hAnsiTheme="minorEastAsia" w:eastAsiaTheme="minorEastAsia"/>
        </w:rPr>
        <w:t>要素的</w:t>
      </w:r>
      <w:r>
        <w:rPr>
          <w:rFonts w:hint="eastAsia" w:asciiTheme="minorEastAsia" w:hAnsiTheme="minorEastAsia" w:eastAsiaTheme="minorEastAsia"/>
        </w:rPr>
        <w:t>要求</w:t>
      </w:r>
      <w:r>
        <w:rPr>
          <w:rFonts w:asciiTheme="minorEastAsia" w:hAnsiTheme="minorEastAsia" w:eastAsiaTheme="minorEastAsia"/>
        </w:rPr>
        <w:t>收集相关材料</w:t>
      </w:r>
      <w:r>
        <w:rPr>
          <w:rFonts w:hint="eastAsia" w:asciiTheme="minorEastAsia" w:hAnsiTheme="minorEastAsia" w:eastAsiaTheme="minorEastAsia"/>
        </w:rPr>
        <w:t>。</w:t>
      </w:r>
    </w:p>
    <w:p>
      <w:pPr>
        <w:widowControl/>
        <w:spacing w:before="120" w:beforeLines="50" w:after="120" w:afterLines="50" w:line="240" w:lineRule="auto"/>
        <w:ind w:left="200" w:firstLine="420" w:firstLineChars="150"/>
        <w:jc w:val="left"/>
        <w:outlineLvl w:val="1"/>
        <w:rPr>
          <w:rFonts w:asciiTheme="minorEastAsia" w:hAnsiTheme="minorEastAsia" w:eastAsiaTheme="minorEastAsia"/>
        </w:rPr>
      </w:pPr>
      <w:r>
        <w:rPr>
          <w:rFonts w:hint="eastAsia" w:asciiTheme="minorEastAsia" w:hAnsiTheme="minorEastAsia" w:eastAsiaTheme="minorEastAsia"/>
        </w:rPr>
        <w:t>2.6.3风险识别</w:t>
      </w:r>
    </w:p>
    <w:p>
      <w:pPr>
        <w:widowControl/>
        <w:autoSpaceDE w:val="0"/>
        <w:autoSpaceDN w:val="0"/>
        <w:spacing w:line="240" w:lineRule="auto"/>
        <w:ind w:firstLine="560"/>
        <w:rPr>
          <w:rFonts w:asciiTheme="minorEastAsia" w:hAnsiTheme="minorEastAsia" w:eastAsiaTheme="minorEastAsia"/>
        </w:rPr>
      </w:pPr>
      <w:r>
        <w:rPr>
          <w:rFonts w:asciiTheme="minorEastAsia" w:hAnsiTheme="minorEastAsia" w:eastAsiaTheme="minorEastAsia"/>
        </w:rPr>
        <w:t>对于</w:t>
      </w:r>
      <w:r>
        <w:rPr>
          <w:rFonts w:hint="eastAsia" w:asciiTheme="minorEastAsia" w:hAnsiTheme="minorEastAsia" w:eastAsiaTheme="minorEastAsia"/>
        </w:rPr>
        <w:t>收集的风险评估材料</w:t>
      </w:r>
      <w:r>
        <w:rPr>
          <w:rFonts w:asciiTheme="minorEastAsia" w:hAnsiTheme="minorEastAsia" w:eastAsiaTheme="minorEastAsia"/>
        </w:rPr>
        <w:t>依据</w:t>
      </w:r>
      <w:r>
        <w:rPr>
          <w:rFonts w:hint="eastAsia" w:asciiTheme="minorEastAsia" w:hAnsiTheme="minorEastAsia" w:eastAsiaTheme="minorEastAsia"/>
        </w:rPr>
        <w:t>元宇宙</w:t>
      </w:r>
      <w:r>
        <w:rPr>
          <w:rFonts w:asciiTheme="minorEastAsia" w:hAnsiTheme="minorEastAsia" w:eastAsiaTheme="minorEastAsia"/>
        </w:rPr>
        <w:t>内容风险</w:t>
      </w:r>
      <w:r>
        <w:rPr>
          <w:rFonts w:hint="eastAsia" w:asciiTheme="minorEastAsia" w:hAnsiTheme="minorEastAsia" w:eastAsiaTheme="minorEastAsia"/>
        </w:rPr>
        <w:t>评估指标说明</w:t>
      </w:r>
      <w:r>
        <w:rPr>
          <w:rFonts w:asciiTheme="minorEastAsia" w:hAnsiTheme="minorEastAsia" w:eastAsiaTheme="minorEastAsia"/>
        </w:rPr>
        <w:t>开展</w:t>
      </w:r>
      <w:r>
        <w:rPr>
          <w:rFonts w:hint="eastAsia" w:asciiTheme="minorEastAsia" w:hAnsiTheme="minorEastAsia" w:eastAsiaTheme="minorEastAsia"/>
        </w:rPr>
        <w:t>内容</w:t>
      </w:r>
      <w:r>
        <w:rPr>
          <w:rFonts w:asciiTheme="minorEastAsia" w:hAnsiTheme="minorEastAsia" w:eastAsiaTheme="minorEastAsia"/>
        </w:rPr>
        <w:t>风险</w:t>
      </w:r>
      <w:r>
        <w:rPr>
          <w:rFonts w:hint="eastAsia" w:asciiTheme="minorEastAsia" w:hAnsiTheme="minorEastAsia" w:eastAsiaTheme="minorEastAsia"/>
        </w:rPr>
        <w:t>评估要素归类</w:t>
      </w:r>
      <w:r>
        <w:rPr>
          <w:rFonts w:asciiTheme="minorEastAsia" w:hAnsiTheme="minorEastAsia" w:eastAsiaTheme="minorEastAsia"/>
        </w:rPr>
        <w:t>识别</w:t>
      </w:r>
      <w:r>
        <w:rPr>
          <w:rFonts w:hint="eastAsia" w:asciiTheme="minorEastAsia" w:hAnsiTheme="minorEastAsia" w:eastAsiaTheme="minorEastAsia"/>
        </w:rPr>
        <w:t>。识别</w:t>
      </w:r>
      <w:r>
        <w:rPr>
          <w:rFonts w:asciiTheme="minorEastAsia" w:hAnsiTheme="minorEastAsia" w:eastAsiaTheme="minorEastAsia"/>
        </w:rPr>
        <w:t>的路径主要包括：</w:t>
      </w:r>
    </w:p>
    <w:p>
      <w:pPr>
        <w:widowControl/>
        <w:numPr>
          <w:ilvl w:val="4"/>
          <w:numId w:val="3"/>
        </w:numPr>
        <w:tabs>
          <w:tab w:val="center" w:pos="709"/>
          <w:tab w:val="left" w:pos="1271"/>
          <w:tab w:val="right" w:leader="dot" w:pos="9298"/>
        </w:tabs>
        <w:autoSpaceDE w:val="0"/>
        <w:autoSpaceDN w:val="0"/>
        <w:spacing w:line="360" w:lineRule="exact"/>
        <w:ind w:left="2410" w:hanging="1984" w:firstLineChars="0"/>
        <w:jc w:val="left"/>
        <w:rPr>
          <w:rFonts w:asciiTheme="minorEastAsia" w:hAnsiTheme="minorEastAsia" w:eastAsiaTheme="minorEastAsia"/>
        </w:rPr>
      </w:pPr>
      <w:r>
        <w:rPr>
          <w:rFonts w:hint="eastAsia" w:asciiTheme="minorEastAsia" w:hAnsiTheme="minorEastAsia" w:eastAsiaTheme="minorEastAsia"/>
        </w:rPr>
        <w:t>相关的法规、标准；</w:t>
      </w:r>
    </w:p>
    <w:p>
      <w:pPr>
        <w:widowControl/>
        <w:numPr>
          <w:ilvl w:val="4"/>
          <w:numId w:val="3"/>
        </w:numPr>
        <w:tabs>
          <w:tab w:val="center" w:pos="709"/>
          <w:tab w:val="left" w:pos="1271"/>
          <w:tab w:val="right" w:leader="dot" w:pos="9298"/>
        </w:tabs>
        <w:autoSpaceDE w:val="0"/>
        <w:autoSpaceDN w:val="0"/>
        <w:spacing w:line="360" w:lineRule="exact"/>
        <w:ind w:left="2410" w:hanging="1984" w:firstLineChars="0"/>
        <w:jc w:val="left"/>
        <w:rPr>
          <w:rFonts w:asciiTheme="minorEastAsia" w:hAnsiTheme="minorEastAsia" w:eastAsiaTheme="minorEastAsia"/>
        </w:rPr>
      </w:pPr>
      <w:r>
        <w:rPr>
          <w:rFonts w:hint="eastAsia" w:asciiTheme="minorEastAsia" w:hAnsiTheme="minorEastAsia" w:eastAsiaTheme="minorEastAsia"/>
        </w:rPr>
        <w:t>元宇宙技术资料；</w:t>
      </w:r>
    </w:p>
    <w:p>
      <w:pPr>
        <w:widowControl/>
        <w:numPr>
          <w:ilvl w:val="4"/>
          <w:numId w:val="3"/>
        </w:numPr>
        <w:tabs>
          <w:tab w:val="center" w:pos="709"/>
          <w:tab w:val="left" w:pos="1271"/>
          <w:tab w:val="right" w:leader="dot" w:pos="9298"/>
        </w:tabs>
        <w:autoSpaceDE w:val="0"/>
        <w:autoSpaceDN w:val="0"/>
        <w:spacing w:line="360" w:lineRule="exact"/>
        <w:ind w:left="2410" w:hanging="1984" w:firstLineChars="0"/>
        <w:jc w:val="left"/>
        <w:rPr>
          <w:rFonts w:asciiTheme="minorEastAsia" w:hAnsiTheme="minorEastAsia" w:eastAsiaTheme="minorEastAsia"/>
        </w:rPr>
      </w:pPr>
      <w:r>
        <w:rPr>
          <w:rFonts w:hint="eastAsia" w:asciiTheme="minorEastAsia" w:hAnsiTheme="minorEastAsia" w:eastAsiaTheme="minorEastAsia"/>
        </w:rPr>
        <w:t>元宇宙应用场景事故报告；</w:t>
      </w:r>
    </w:p>
    <w:p>
      <w:pPr>
        <w:widowControl/>
        <w:numPr>
          <w:ilvl w:val="4"/>
          <w:numId w:val="3"/>
        </w:numPr>
        <w:tabs>
          <w:tab w:val="center" w:pos="709"/>
          <w:tab w:val="left" w:pos="1271"/>
          <w:tab w:val="right" w:leader="dot" w:pos="9298"/>
        </w:tabs>
        <w:autoSpaceDE w:val="0"/>
        <w:autoSpaceDN w:val="0"/>
        <w:spacing w:line="360" w:lineRule="exact"/>
        <w:ind w:left="2410" w:hanging="1984" w:firstLineChars="0"/>
        <w:jc w:val="left"/>
        <w:rPr>
          <w:rFonts w:asciiTheme="minorEastAsia" w:hAnsiTheme="minorEastAsia" w:eastAsiaTheme="minorEastAsia"/>
        </w:rPr>
      </w:pPr>
      <w:r>
        <w:rPr>
          <w:rFonts w:hint="eastAsia" w:asciiTheme="minorEastAsia" w:hAnsiTheme="minorEastAsia" w:eastAsiaTheme="minorEastAsia"/>
        </w:rPr>
        <w:t>元宇宙用户投诉；</w:t>
      </w:r>
    </w:p>
    <w:p>
      <w:pPr>
        <w:widowControl/>
        <w:numPr>
          <w:ilvl w:val="4"/>
          <w:numId w:val="3"/>
        </w:numPr>
        <w:tabs>
          <w:tab w:val="center" w:pos="709"/>
          <w:tab w:val="left" w:pos="1271"/>
          <w:tab w:val="right" w:leader="dot" w:pos="9298"/>
        </w:tabs>
        <w:autoSpaceDE w:val="0"/>
        <w:autoSpaceDN w:val="0"/>
        <w:spacing w:line="360" w:lineRule="exact"/>
        <w:ind w:left="2410" w:hanging="1984" w:firstLineChars="0"/>
        <w:jc w:val="left"/>
        <w:rPr>
          <w:rFonts w:asciiTheme="minorEastAsia" w:hAnsiTheme="minorEastAsia" w:eastAsiaTheme="minorEastAsia"/>
        </w:rPr>
      </w:pPr>
      <w:r>
        <w:rPr>
          <w:rFonts w:hint="eastAsia" w:asciiTheme="minorEastAsia" w:hAnsiTheme="minorEastAsia" w:eastAsiaTheme="minorEastAsia"/>
        </w:rPr>
        <w:t>元宇宙用户体验</w:t>
      </w:r>
    </w:p>
    <w:p>
      <w:pPr>
        <w:widowControl/>
        <w:numPr>
          <w:ilvl w:val="4"/>
          <w:numId w:val="3"/>
        </w:numPr>
        <w:tabs>
          <w:tab w:val="center" w:pos="709"/>
          <w:tab w:val="left" w:pos="1271"/>
          <w:tab w:val="right" w:leader="dot" w:pos="9298"/>
        </w:tabs>
        <w:autoSpaceDE w:val="0"/>
        <w:autoSpaceDN w:val="0"/>
        <w:spacing w:line="360" w:lineRule="exact"/>
        <w:ind w:left="2410" w:hanging="1984" w:firstLineChars="0"/>
        <w:jc w:val="left"/>
        <w:rPr>
          <w:rFonts w:asciiTheme="minorEastAsia" w:hAnsiTheme="minorEastAsia" w:eastAsiaTheme="minorEastAsia"/>
        </w:rPr>
      </w:pPr>
      <w:r>
        <w:rPr>
          <w:rFonts w:hint="eastAsia" w:asciiTheme="minorEastAsia" w:hAnsiTheme="minorEastAsia" w:eastAsiaTheme="minorEastAsia"/>
        </w:rPr>
        <w:t>媒体报道；</w:t>
      </w:r>
    </w:p>
    <w:p>
      <w:pPr>
        <w:widowControl/>
        <w:numPr>
          <w:ilvl w:val="4"/>
          <w:numId w:val="3"/>
        </w:numPr>
        <w:tabs>
          <w:tab w:val="center" w:pos="709"/>
          <w:tab w:val="left" w:pos="1271"/>
          <w:tab w:val="right" w:leader="dot" w:pos="9298"/>
        </w:tabs>
        <w:autoSpaceDE w:val="0"/>
        <w:autoSpaceDN w:val="0"/>
        <w:spacing w:line="360" w:lineRule="exact"/>
        <w:ind w:left="2410" w:hanging="1984" w:firstLineChars="0"/>
        <w:jc w:val="left"/>
        <w:rPr>
          <w:rFonts w:asciiTheme="minorEastAsia" w:hAnsiTheme="minorEastAsia" w:eastAsiaTheme="minorEastAsia"/>
        </w:rPr>
      </w:pPr>
      <w:r>
        <w:rPr>
          <w:rFonts w:hint="eastAsia" w:asciiTheme="minorEastAsia" w:hAnsiTheme="minorEastAsia" w:eastAsiaTheme="minorEastAsia"/>
        </w:rPr>
        <w:t>专家意见等。</w:t>
      </w:r>
    </w:p>
    <w:p>
      <w:pPr>
        <w:widowControl/>
        <w:spacing w:before="120" w:beforeLines="50" w:after="120" w:afterLines="50" w:line="240" w:lineRule="auto"/>
        <w:ind w:left="200" w:firstLine="280" w:firstLineChars="100"/>
        <w:jc w:val="left"/>
        <w:outlineLvl w:val="1"/>
        <w:rPr>
          <w:rFonts w:asciiTheme="minorEastAsia" w:hAnsiTheme="minorEastAsia" w:eastAsiaTheme="minorEastAsia"/>
        </w:rPr>
      </w:pPr>
      <w:r>
        <w:rPr>
          <w:rFonts w:hint="eastAsia" w:asciiTheme="minorEastAsia" w:hAnsiTheme="minorEastAsia" w:eastAsiaTheme="minorEastAsia"/>
        </w:rPr>
        <w:t>2.6.4风险</w:t>
      </w:r>
      <w:r>
        <w:rPr>
          <w:rFonts w:asciiTheme="minorEastAsia" w:hAnsiTheme="minorEastAsia" w:eastAsiaTheme="minorEastAsia"/>
        </w:rPr>
        <w:t>分析</w:t>
      </w:r>
    </w:p>
    <w:p>
      <w:pPr>
        <w:widowControl/>
        <w:autoSpaceDE w:val="0"/>
        <w:autoSpaceDN w:val="0"/>
        <w:spacing w:line="240" w:lineRule="auto"/>
        <w:ind w:firstLine="560"/>
        <w:rPr>
          <w:rFonts w:asciiTheme="minorEastAsia" w:hAnsiTheme="minorEastAsia" w:eastAsiaTheme="minorEastAsia"/>
        </w:rPr>
      </w:pPr>
      <w:r>
        <w:rPr>
          <w:rFonts w:hint="eastAsia" w:asciiTheme="minorEastAsia" w:hAnsiTheme="minorEastAsia" w:eastAsiaTheme="minorEastAsia"/>
        </w:rPr>
        <w:t>对风险识别</w:t>
      </w:r>
      <w:r>
        <w:rPr>
          <w:rFonts w:asciiTheme="minorEastAsia" w:hAnsiTheme="minorEastAsia" w:eastAsiaTheme="minorEastAsia"/>
        </w:rPr>
        <w:t>后评估</w:t>
      </w:r>
      <w:r>
        <w:rPr>
          <w:rFonts w:hint="eastAsia" w:asciiTheme="minorEastAsia" w:hAnsiTheme="minorEastAsia" w:eastAsiaTheme="minorEastAsia"/>
        </w:rPr>
        <w:t>要素</w:t>
      </w:r>
      <w:r>
        <w:rPr>
          <w:rFonts w:asciiTheme="minorEastAsia" w:hAnsiTheme="minorEastAsia" w:eastAsiaTheme="minorEastAsia"/>
        </w:rPr>
        <w:t>指标</w:t>
      </w:r>
      <w:r>
        <w:rPr>
          <w:rFonts w:hint="eastAsia" w:asciiTheme="minorEastAsia" w:hAnsiTheme="minorEastAsia" w:eastAsiaTheme="minorEastAsia"/>
        </w:rPr>
        <w:t>的具体情况开展分析，确定元宇宙</w:t>
      </w:r>
      <w:r>
        <w:rPr>
          <w:rFonts w:asciiTheme="minorEastAsia" w:hAnsiTheme="minorEastAsia" w:eastAsiaTheme="minorEastAsia"/>
        </w:rPr>
        <w:t>内容</w:t>
      </w:r>
      <w:r>
        <w:rPr>
          <w:rFonts w:hint="eastAsia" w:asciiTheme="minorEastAsia" w:hAnsiTheme="minorEastAsia" w:eastAsiaTheme="minorEastAsia"/>
        </w:rPr>
        <w:t>风险评估指标</w:t>
      </w:r>
      <w:r>
        <w:rPr>
          <w:rFonts w:asciiTheme="minorEastAsia" w:hAnsiTheme="minorEastAsia" w:eastAsiaTheme="minorEastAsia"/>
        </w:rPr>
        <w:t>体系</w:t>
      </w:r>
      <w:r>
        <w:rPr>
          <w:rFonts w:hint="eastAsia" w:asciiTheme="minorEastAsia" w:hAnsiTheme="minorEastAsia" w:eastAsiaTheme="minorEastAsia"/>
        </w:rPr>
        <w:t>评估</w:t>
      </w:r>
      <w:r>
        <w:rPr>
          <w:rFonts w:asciiTheme="minorEastAsia" w:hAnsiTheme="minorEastAsia" w:eastAsiaTheme="minorEastAsia"/>
        </w:rPr>
        <w:t>指标权重。</w:t>
      </w:r>
    </w:p>
    <w:p>
      <w:pPr>
        <w:widowControl/>
        <w:spacing w:before="120" w:beforeLines="50" w:after="120" w:afterLines="50" w:line="240" w:lineRule="auto"/>
        <w:ind w:firstLine="560"/>
        <w:jc w:val="left"/>
        <w:outlineLvl w:val="1"/>
        <w:rPr>
          <w:rFonts w:asciiTheme="minorEastAsia" w:hAnsiTheme="minorEastAsia" w:eastAsiaTheme="minorEastAsia"/>
        </w:rPr>
      </w:pPr>
      <w:r>
        <w:rPr>
          <w:rFonts w:hint="eastAsia" w:asciiTheme="minorEastAsia" w:hAnsiTheme="minorEastAsia" w:eastAsiaTheme="minorEastAsia"/>
        </w:rPr>
        <w:t>2.6.5风险评估</w:t>
      </w:r>
    </w:p>
    <w:p>
      <w:pPr>
        <w:widowControl/>
        <w:autoSpaceDE w:val="0"/>
        <w:autoSpaceDN w:val="0"/>
        <w:spacing w:line="240" w:lineRule="auto"/>
        <w:ind w:firstLine="560"/>
        <w:rPr>
          <w:rFonts w:asciiTheme="minorEastAsia" w:hAnsiTheme="minorEastAsia" w:eastAsiaTheme="minorEastAsia"/>
        </w:rPr>
      </w:pPr>
      <w:r>
        <w:rPr>
          <w:rFonts w:hint="eastAsia" w:asciiTheme="minorEastAsia" w:hAnsiTheme="minorEastAsia" w:eastAsiaTheme="minorEastAsia"/>
        </w:rPr>
        <w:t>依据元宇宙</w:t>
      </w:r>
      <w:r>
        <w:rPr>
          <w:rFonts w:asciiTheme="minorEastAsia" w:hAnsiTheme="minorEastAsia" w:eastAsiaTheme="minorEastAsia"/>
        </w:rPr>
        <w:t>内容</w:t>
      </w:r>
      <w:r>
        <w:rPr>
          <w:rFonts w:hint="eastAsia" w:asciiTheme="minorEastAsia" w:hAnsiTheme="minorEastAsia" w:eastAsiaTheme="minorEastAsia"/>
        </w:rPr>
        <w:t>风险评估指标</w:t>
      </w:r>
      <w:r>
        <w:rPr>
          <w:rFonts w:asciiTheme="minorEastAsia" w:hAnsiTheme="minorEastAsia" w:eastAsiaTheme="minorEastAsia"/>
        </w:rPr>
        <w:t>体系</w:t>
      </w:r>
      <w:r>
        <w:rPr>
          <w:rFonts w:hint="eastAsia" w:asciiTheme="minorEastAsia" w:hAnsiTheme="minorEastAsia" w:eastAsiaTheme="minorEastAsia"/>
        </w:rPr>
        <w:t>构架及</w:t>
      </w:r>
      <w:r>
        <w:rPr>
          <w:rFonts w:asciiTheme="minorEastAsia" w:hAnsiTheme="minorEastAsia" w:eastAsiaTheme="minorEastAsia"/>
        </w:rPr>
        <w:t>指标权重及</w:t>
      </w:r>
      <w:r>
        <w:rPr>
          <w:rFonts w:hint="eastAsia" w:asciiTheme="minorEastAsia" w:hAnsiTheme="minorEastAsia" w:eastAsiaTheme="minorEastAsia"/>
        </w:rPr>
        <w:t>指标赋值类型，</w:t>
      </w:r>
      <w:r>
        <w:rPr>
          <w:rFonts w:asciiTheme="minorEastAsia" w:hAnsiTheme="minorEastAsia" w:eastAsiaTheme="minorEastAsia"/>
        </w:rPr>
        <w:t>对</w:t>
      </w:r>
      <w:r>
        <w:rPr>
          <w:rFonts w:hint="eastAsia" w:asciiTheme="minorEastAsia" w:hAnsiTheme="minorEastAsia" w:eastAsiaTheme="minorEastAsia"/>
        </w:rPr>
        <w:t>评估对象开展内容风险</w:t>
      </w:r>
      <w:r>
        <w:rPr>
          <w:rFonts w:asciiTheme="minorEastAsia" w:hAnsiTheme="minorEastAsia" w:eastAsiaTheme="minorEastAsia"/>
        </w:rPr>
        <w:t>评估，给出</w:t>
      </w:r>
      <w:r>
        <w:rPr>
          <w:rFonts w:hint="eastAsia" w:asciiTheme="minorEastAsia" w:hAnsiTheme="minorEastAsia" w:eastAsiaTheme="minorEastAsia"/>
        </w:rPr>
        <w:t>元宇宙</w:t>
      </w:r>
      <w:r>
        <w:rPr>
          <w:rFonts w:asciiTheme="minorEastAsia" w:hAnsiTheme="minorEastAsia" w:eastAsiaTheme="minorEastAsia"/>
        </w:rPr>
        <w:t>内容风险评估结果。</w:t>
      </w:r>
    </w:p>
    <w:p>
      <w:pPr>
        <w:widowControl/>
        <w:spacing w:before="120" w:beforeLines="50" w:after="120" w:afterLines="50" w:line="240" w:lineRule="auto"/>
        <w:ind w:left="200" w:firstLine="280" w:firstLineChars="100"/>
        <w:jc w:val="left"/>
        <w:outlineLvl w:val="1"/>
        <w:rPr>
          <w:rFonts w:asciiTheme="minorEastAsia" w:hAnsiTheme="minorEastAsia" w:eastAsiaTheme="minorEastAsia"/>
        </w:rPr>
      </w:pPr>
      <w:r>
        <w:rPr>
          <w:rFonts w:hint="eastAsia" w:asciiTheme="minorEastAsia" w:hAnsiTheme="minorEastAsia" w:eastAsiaTheme="minorEastAsia"/>
        </w:rPr>
        <w:t>2.6.6评估报告</w:t>
      </w:r>
      <w:r>
        <w:rPr>
          <w:rFonts w:asciiTheme="minorEastAsia" w:hAnsiTheme="minorEastAsia" w:eastAsiaTheme="minorEastAsia"/>
        </w:rPr>
        <w:t>撰写</w:t>
      </w:r>
    </w:p>
    <w:p>
      <w:pPr>
        <w:widowControl/>
        <w:autoSpaceDE w:val="0"/>
        <w:autoSpaceDN w:val="0"/>
        <w:spacing w:after="50" w:line="240" w:lineRule="auto"/>
        <w:ind w:firstLine="560"/>
        <w:rPr>
          <w:rFonts w:asciiTheme="minorEastAsia" w:hAnsiTheme="minorEastAsia" w:eastAsiaTheme="minorEastAsia"/>
        </w:rPr>
      </w:pPr>
      <w:r>
        <w:rPr>
          <w:rFonts w:hint="eastAsia" w:asciiTheme="minorEastAsia" w:hAnsiTheme="minorEastAsia" w:eastAsiaTheme="minorEastAsia"/>
        </w:rPr>
        <w:t>据风险评估结果，结合评估目标，编制评估报告，评估报告内容可包括但不限于以下内容：</w:t>
      </w:r>
    </w:p>
    <w:p>
      <w:pPr>
        <w:widowControl/>
        <w:numPr>
          <w:ilvl w:val="4"/>
          <w:numId w:val="4"/>
        </w:numPr>
        <w:tabs>
          <w:tab w:val="center" w:pos="709"/>
          <w:tab w:val="left" w:pos="1271"/>
          <w:tab w:val="left" w:pos="2517"/>
          <w:tab w:val="right" w:leader="dot" w:pos="9298"/>
        </w:tabs>
        <w:autoSpaceDE w:val="0"/>
        <w:autoSpaceDN w:val="0"/>
        <w:spacing w:line="360" w:lineRule="exact"/>
        <w:ind w:firstLineChars="0"/>
        <w:jc w:val="left"/>
        <w:rPr>
          <w:rFonts w:asciiTheme="minorEastAsia" w:hAnsiTheme="minorEastAsia" w:eastAsiaTheme="minorEastAsia"/>
        </w:rPr>
      </w:pPr>
      <w:r>
        <w:rPr>
          <w:rFonts w:hint="eastAsia" w:asciiTheme="minorEastAsia" w:hAnsiTheme="minorEastAsia" w:eastAsiaTheme="minorEastAsia"/>
        </w:rPr>
        <w:t>评估机构；</w:t>
      </w:r>
    </w:p>
    <w:p>
      <w:pPr>
        <w:widowControl/>
        <w:numPr>
          <w:ilvl w:val="4"/>
          <w:numId w:val="3"/>
        </w:numPr>
        <w:tabs>
          <w:tab w:val="center" w:pos="709"/>
          <w:tab w:val="left" w:pos="1271"/>
          <w:tab w:val="left" w:pos="2517"/>
          <w:tab w:val="right" w:leader="dot" w:pos="9298"/>
        </w:tabs>
        <w:autoSpaceDE w:val="0"/>
        <w:autoSpaceDN w:val="0"/>
        <w:spacing w:line="360" w:lineRule="exact"/>
        <w:ind w:left="2523" w:hanging="1672" w:firstLineChars="0"/>
        <w:jc w:val="left"/>
        <w:rPr>
          <w:rFonts w:asciiTheme="minorEastAsia" w:hAnsiTheme="minorEastAsia" w:eastAsiaTheme="minorEastAsia"/>
        </w:rPr>
      </w:pPr>
      <w:r>
        <w:rPr>
          <w:rFonts w:hint="eastAsia" w:asciiTheme="minorEastAsia" w:hAnsiTheme="minorEastAsia" w:eastAsiaTheme="minorEastAsia"/>
        </w:rPr>
        <w:t>评估对象；</w:t>
      </w:r>
    </w:p>
    <w:p>
      <w:pPr>
        <w:widowControl/>
        <w:numPr>
          <w:ilvl w:val="4"/>
          <w:numId w:val="3"/>
        </w:numPr>
        <w:tabs>
          <w:tab w:val="center" w:pos="709"/>
          <w:tab w:val="left" w:pos="1271"/>
          <w:tab w:val="left" w:pos="2517"/>
          <w:tab w:val="right" w:leader="dot" w:pos="9298"/>
        </w:tabs>
        <w:autoSpaceDE w:val="0"/>
        <w:autoSpaceDN w:val="0"/>
        <w:spacing w:line="360" w:lineRule="exact"/>
        <w:ind w:left="2523" w:hanging="1672" w:firstLineChars="0"/>
        <w:jc w:val="left"/>
        <w:rPr>
          <w:rFonts w:asciiTheme="minorEastAsia" w:hAnsiTheme="minorEastAsia" w:eastAsiaTheme="minorEastAsia"/>
        </w:rPr>
      </w:pPr>
      <w:r>
        <w:rPr>
          <w:rFonts w:hint="eastAsia" w:asciiTheme="minorEastAsia" w:hAnsiTheme="minorEastAsia" w:eastAsiaTheme="minorEastAsia"/>
        </w:rPr>
        <w:t>评估目的；</w:t>
      </w:r>
    </w:p>
    <w:p>
      <w:pPr>
        <w:widowControl/>
        <w:numPr>
          <w:ilvl w:val="4"/>
          <w:numId w:val="3"/>
        </w:numPr>
        <w:tabs>
          <w:tab w:val="center" w:pos="709"/>
          <w:tab w:val="left" w:pos="1271"/>
          <w:tab w:val="left" w:pos="2517"/>
          <w:tab w:val="right" w:leader="dot" w:pos="9298"/>
        </w:tabs>
        <w:autoSpaceDE w:val="0"/>
        <w:autoSpaceDN w:val="0"/>
        <w:spacing w:line="360" w:lineRule="exact"/>
        <w:ind w:left="2523" w:hanging="1672" w:firstLineChars="0"/>
        <w:jc w:val="left"/>
        <w:rPr>
          <w:rFonts w:asciiTheme="minorEastAsia" w:hAnsiTheme="minorEastAsia" w:eastAsiaTheme="minorEastAsia"/>
        </w:rPr>
      </w:pPr>
      <w:r>
        <w:rPr>
          <w:rFonts w:hint="eastAsia" w:asciiTheme="minorEastAsia" w:hAnsiTheme="minorEastAsia" w:eastAsiaTheme="minorEastAsia"/>
        </w:rPr>
        <w:t>评估指标</w:t>
      </w:r>
      <w:r>
        <w:rPr>
          <w:rFonts w:asciiTheme="minorEastAsia" w:hAnsiTheme="minorEastAsia" w:eastAsiaTheme="minorEastAsia"/>
        </w:rPr>
        <w:t>体系</w:t>
      </w:r>
      <w:r>
        <w:rPr>
          <w:rFonts w:hint="eastAsia" w:asciiTheme="minorEastAsia" w:hAnsiTheme="minorEastAsia" w:eastAsiaTheme="minorEastAsia"/>
        </w:rPr>
        <w:t>及</w:t>
      </w:r>
      <w:r>
        <w:rPr>
          <w:rFonts w:asciiTheme="minorEastAsia" w:hAnsiTheme="minorEastAsia" w:eastAsiaTheme="minorEastAsia"/>
        </w:rPr>
        <w:t>权重</w:t>
      </w:r>
      <w:r>
        <w:rPr>
          <w:rFonts w:hint="eastAsia" w:asciiTheme="minorEastAsia" w:hAnsiTheme="minorEastAsia" w:eastAsiaTheme="minorEastAsia"/>
        </w:rPr>
        <w:t>；</w:t>
      </w:r>
    </w:p>
    <w:p>
      <w:pPr>
        <w:widowControl/>
        <w:numPr>
          <w:ilvl w:val="4"/>
          <w:numId w:val="3"/>
        </w:numPr>
        <w:tabs>
          <w:tab w:val="center" w:pos="709"/>
          <w:tab w:val="left" w:pos="1271"/>
          <w:tab w:val="left" w:pos="2517"/>
          <w:tab w:val="right" w:leader="dot" w:pos="9298"/>
        </w:tabs>
        <w:autoSpaceDE w:val="0"/>
        <w:autoSpaceDN w:val="0"/>
        <w:spacing w:line="360" w:lineRule="exact"/>
        <w:ind w:left="2523" w:hanging="1672" w:firstLineChars="0"/>
        <w:jc w:val="left"/>
        <w:rPr>
          <w:rFonts w:asciiTheme="minorEastAsia" w:hAnsiTheme="minorEastAsia" w:eastAsiaTheme="minorEastAsia"/>
        </w:rPr>
      </w:pPr>
      <w:r>
        <w:rPr>
          <w:rFonts w:hint="eastAsia" w:asciiTheme="minorEastAsia" w:hAnsiTheme="minorEastAsia" w:eastAsiaTheme="minorEastAsia"/>
        </w:rPr>
        <w:t>评估方法；</w:t>
      </w:r>
    </w:p>
    <w:p>
      <w:pPr>
        <w:widowControl/>
        <w:numPr>
          <w:ilvl w:val="4"/>
          <w:numId w:val="3"/>
        </w:numPr>
        <w:tabs>
          <w:tab w:val="center" w:pos="709"/>
          <w:tab w:val="left" w:pos="1271"/>
          <w:tab w:val="left" w:pos="2517"/>
          <w:tab w:val="right" w:leader="dot" w:pos="9298"/>
        </w:tabs>
        <w:autoSpaceDE w:val="0"/>
        <w:autoSpaceDN w:val="0"/>
        <w:spacing w:line="360" w:lineRule="exact"/>
        <w:ind w:left="2523" w:hanging="1672" w:firstLineChars="0"/>
        <w:jc w:val="left"/>
        <w:rPr>
          <w:rFonts w:asciiTheme="minorEastAsia" w:hAnsiTheme="minorEastAsia" w:eastAsiaTheme="minorEastAsia"/>
        </w:rPr>
      </w:pPr>
      <w:r>
        <w:rPr>
          <w:rFonts w:hint="eastAsia" w:asciiTheme="minorEastAsia" w:hAnsiTheme="minorEastAsia" w:eastAsiaTheme="minorEastAsia"/>
        </w:rPr>
        <w:t>评估过程；</w:t>
      </w:r>
    </w:p>
    <w:p>
      <w:pPr>
        <w:widowControl/>
        <w:numPr>
          <w:ilvl w:val="4"/>
          <w:numId w:val="3"/>
        </w:numPr>
        <w:tabs>
          <w:tab w:val="center" w:pos="709"/>
          <w:tab w:val="left" w:pos="1271"/>
          <w:tab w:val="left" w:pos="2517"/>
          <w:tab w:val="right" w:leader="dot" w:pos="9298"/>
        </w:tabs>
        <w:autoSpaceDE w:val="0"/>
        <w:autoSpaceDN w:val="0"/>
        <w:spacing w:line="360" w:lineRule="exact"/>
        <w:ind w:left="2523" w:hanging="1672" w:firstLineChars="0"/>
        <w:jc w:val="left"/>
        <w:rPr>
          <w:rFonts w:asciiTheme="minorEastAsia" w:hAnsiTheme="minorEastAsia" w:eastAsiaTheme="minorEastAsia"/>
        </w:rPr>
      </w:pPr>
      <w:r>
        <w:rPr>
          <w:rFonts w:hint="eastAsia" w:asciiTheme="minorEastAsia" w:hAnsiTheme="minorEastAsia" w:eastAsiaTheme="minorEastAsia"/>
        </w:rPr>
        <w:t>评估结果；</w:t>
      </w:r>
    </w:p>
    <w:p>
      <w:pPr>
        <w:widowControl/>
        <w:numPr>
          <w:ilvl w:val="4"/>
          <w:numId w:val="3"/>
        </w:numPr>
        <w:tabs>
          <w:tab w:val="center" w:pos="709"/>
          <w:tab w:val="left" w:pos="1271"/>
          <w:tab w:val="left" w:pos="2517"/>
          <w:tab w:val="right" w:leader="dot" w:pos="9298"/>
        </w:tabs>
        <w:autoSpaceDE w:val="0"/>
        <w:autoSpaceDN w:val="0"/>
        <w:spacing w:line="360" w:lineRule="exact"/>
        <w:ind w:left="2523" w:hanging="1672" w:firstLineChars="0"/>
        <w:jc w:val="left"/>
        <w:rPr>
          <w:rFonts w:asciiTheme="minorEastAsia" w:hAnsiTheme="minorEastAsia" w:eastAsiaTheme="minorEastAsia"/>
        </w:rPr>
      </w:pPr>
      <w:r>
        <w:rPr>
          <w:rFonts w:hint="eastAsia" w:asciiTheme="minorEastAsia" w:hAnsiTheme="minorEastAsia" w:eastAsiaTheme="minorEastAsia"/>
        </w:rPr>
        <w:t>评估</w:t>
      </w:r>
      <w:r>
        <w:rPr>
          <w:rFonts w:asciiTheme="minorEastAsia" w:hAnsiTheme="minorEastAsia" w:eastAsiaTheme="minorEastAsia"/>
        </w:rPr>
        <w:t>建议。</w:t>
      </w:r>
    </w:p>
    <w:p>
      <w:pPr>
        <w:tabs>
          <w:tab w:val="left" w:pos="1275"/>
        </w:tabs>
        <w:spacing w:before="120" w:beforeLines="50" w:after="120" w:afterLines="50"/>
        <w:ind w:firstLine="561" w:firstLineChars="0"/>
        <w:rPr>
          <w:rFonts w:asciiTheme="minorEastAsia" w:hAnsiTheme="minorEastAsia" w:eastAsiaTheme="minorEastAsia"/>
          <w:b/>
        </w:rPr>
      </w:pPr>
      <w:bookmarkStart w:id="4" w:name="_Toc139356487"/>
      <w:r>
        <w:rPr>
          <w:rFonts w:hint="eastAsia" w:asciiTheme="minorEastAsia" w:hAnsiTheme="minorEastAsia" w:eastAsiaTheme="minorEastAsia"/>
          <w:b/>
        </w:rPr>
        <w:t>2.7结果处理</w:t>
      </w:r>
      <w:bookmarkEnd w:id="4"/>
    </w:p>
    <w:p>
      <w:pPr>
        <w:widowControl/>
        <w:spacing w:before="120" w:beforeLines="50"/>
        <w:ind w:left="198" w:firstLine="420" w:firstLineChars="150"/>
        <w:jc w:val="left"/>
        <w:outlineLvl w:val="1"/>
        <w:rPr>
          <w:rFonts w:asciiTheme="minorEastAsia" w:hAnsiTheme="minorEastAsia" w:eastAsiaTheme="minorEastAsia"/>
        </w:rPr>
      </w:pPr>
      <w:r>
        <w:rPr>
          <w:rFonts w:hint="eastAsia" w:asciiTheme="minorEastAsia" w:hAnsiTheme="minorEastAsia" w:eastAsiaTheme="minorEastAsia"/>
        </w:rPr>
        <w:t>2.7.1发布评估结果</w:t>
      </w:r>
    </w:p>
    <w:p>
      <w:pPr>
        <w:widowControl/>
        <w:autoSpaceDE w:val="0"/>
        <w:autoSpaceDN w:val="0"/>
        <w:ind w:firstLine="560"/>
        <w:rPr>
          <w:rFonts w:asciiTheme="minorEastAsia" w:hAnsiTheme="minorEastAsia" w:eastAsiaTheme="minorEastAsia"/>
        </w:rPr>
      </w:pPr>
      <w:r>
        <w:rPr>
          <w:rFonts w:asciiTheme="minorEastAsia" w:hAnsiTheme="minorEastAsia" w:eastAsiaTheme="minorEastAsia"/>
        </w:rPr>
        <w:t>评估机构</w:t>
      </w:r>
      <w:r>
        <w:rPr>
          <w:rFonts w:hint="eastAsia" w:asciiTheme="minorEastAsia" w:hAnsiTheme="minorEastAsia" w:eastAsiaTheme="minorEastAsia"/>
        </w:rPr>
        <w:t>可依据委托方要求适时发布评估结果，并对评估结果发布的影响和实效等进行跟踪反馈。</w:t>
      </w:r>
    </w:p>
    <w:p>
      <w:pPr>
        <w:widowControl/>
        <w:ind w:firstLine="700" w:firstLineChars="250"/>
        <w:jc w:val="left"/>
        <w:outlineLvl w:val="1"/>
        <w:rPr>
          <w:rFonts w:asciiTheme="minorEastAsia" w:hAnsiTheme="minorEastAsia" w:eastAsiaTheme="minorEastAsia"/>
        </w:rPr>
      </w:pPr>
      <w:r>
        <w:rPr>
          <w:rFonts w:hint="eastAsia" w:asciiTheme="minorEastAsia" w:hAnsiTheme="minorEastAsia" w:eastAsiaTheme="minorEastAsia"/>
        </w:rPr>
        <w:t>2.7.2风险处理方案</w:t>
      </w:r>
      <w:r>
        <w:rPr>
          <w:rFonts w:asciiTheme="minorEastAsia" w:hAnsiTheme="minorEastAsia" w:eastAsiaTheme="minorEastAsia"/>
        </w:rPr>
        <w:t>提出</w:t>
      </w:r>
    </w:p>
    <w:p>
      <w:pPr>
        <w:widowControl/>
        <w:autoSpaceDE w:val="0"/>
        <w:autoSpaceDN w:val="0"/>
        <w:ind w:firstLine="560"/>
        <w:rPr>
          <w:rFonts w:asciiTheme="minorEastAsia" w:hAnsiTheme="minorEastAsia" w:eastAsiaTheme="minorEastAsia"/>
        </w:rPr>
      </w:pPr>
      <w:r>
        <w:rPr>
          <w:rFonts w:asciiTheme="minorEastAsia" w:hAnsiTheme="minorEastAsia" w:eastAsiaTheme="minorEastAsia"/>
        </w:rPr>
        <w:t>委托方</w:t>
      </w:r>
      <w:r>
        <w:rPr>
          <w:rFonts w:hint="eastAsia" w:asciiTheme="minorEastAsia" w:hAnsiTheme="minorEastAsia" w:eastAsiaTheme="minorEastAsia"/>
        </w:rPr>
        <w:t>如对</w:t>
      </w:r>
      <w:r>
        <w:rPr>
          <w:rFonts w:asciiTheme="minorEastAsia" w:hAnsiTheme="minorEastAsia" w:eastAsiaTheme="minorEastAsia"/>
        </w:rPr>
        <w:t>风险评估</w:t>
      </w:r>
      <w:r>
        <w:rPr>
          <w:rFonts w:hint="eastAsia" w:asciiTheme="minorEastAsia" w:hAnsiTheme="minorEastAsia" w:eastAsiaTheme="minorEastAsia"/>
        </w:rPr>
        <w:t>的</w:t>
      </w:r>
      <w:r>
        <w:rPr>
          <w:rFonts w:asciiTheme="minorEastAsia" w:hAnsiTheme="minorEastAsia" w:eastAsiaTheme="minorEastAsia"/>
        </w:rPr>
        <w:t>风险结果</w:t>
      </w:r>
      <w:r>
        <w:rPr>
          <w:rFonts w:hint="eastAsia" w:asciiTheme="minorEastAsia" w:hAnsiTheme="minorEastAsia" w:eastAsiaTheme="minorEastAsia"/>
        </w:rPr>
        <w:t>不予接受，</w:t>
      </w:r>
      <w:r>
        <w:rPr>
          <w:rFonts w:asciiTheme="minorEastAsia" w:hAnsiTheme="minorEastAsia" w:eastAsiaTheme="minorEastAsia"/>
        </w:rPr>
        <w:t>评估机构</w:t>
      </w:r>
      <w:r>
        <w:rPr>
          <w:rFonts w:hint="eastAsia" w:asciiTheme="minorEastAsia" w:hAnsiTheme="minorEastAsia" w:eastAsiaTheme="minorEastAsia"/>
        </w:rPr>
        <w:t>则可基于评估报告中的评估</w:t>
      </w:r>
      <w:r>
        <w:rPr>
          <w:rFonts w:asciiTheme="minorEastAsia" w:hAnsiTheme="minorEastAsia" w:eastAsiaTheme="minorEastAsia"/>
        </w:rPr>
        <w:t>建议</w:t>
      </w:r>
      <w:r>
        <w:rPr>
          <w:rFonts w:hint="eastAsia" w:asciiTheme="minorEastAsia" w:hAnsiTheme="minorEastAsia" w:eastAsiaTheme="minorEastAsia"/>
        </w:rPr>
        <w:t>，</w:t>
      </w:r>
      <w:r>
        <w:rPr>
          <w:rFonts w:asciiTheme="minorEastAsia" w:hAnsiTheme="minorEastAsia" w:eastAsiaTheme="minorEastAsia"/>
        </w:rPr>
        <w:t>并</w:t>
      </w:r>
      <w:r>
        <w:rPr>
          <w:rFonts w:hint="eastAsia" w:asciiTheme="minorEastAsia" w:hAnsiTheme="minorEastAsia" w:eastAsiaTheme="minorEastAsia"/>
        </w:rPr>
        <w:t>依据</w:t>
      </w:r>
      <w:r>
        <w:rPr>
          <w:rFonts w:asciiTheme="minorEastAsia" w:hAnsiTheme="minorEastAsia" w:eastAsiaTheme="minorEastAsia"/>
        </w:rPr>
        <w:t>委托方的具体需求，提出</w:t>
      </w:r>
      <w:r>
        <w:rPr>
          <w:rFonts w:hint="eastAsia" w:asciiTheme="minorEastAsia" w:hAnsiTheme="minorEastAsia" w:eastAsiaTheme="minorEastAsia"/>
        </w:rPr>
        <w:t>元宇宙</w:t>
      </w:r>
      <w:r>
        <w:rPr>
          <w:rFonts w:asciiTheme="minorEastAsia" w:hAnsiTheme="minorEastAsia" w:eastAsiaTheme="minorEastAsia"/>
        </w:rPr>
        <w:t>内容</w:t>
      </w:r>
      <w:r>
        <w:rPr>
          <w:rFonts w:hint="eastAsia" w:asciiTheme="minorEastAsia" w:hAnsiTheme="minorEastAsia" w:eastAsiaTheme="minorEastAsia"/>
        </w:rPr>
        <w:t>风险</w:t>
      </w:r>
      <w:r>
        <w:rPr>
          <w:rFonts w:asciiTheme="minorEastAsia" w:hAnsiTheme="minorEastAsia" w:eastAsiaTheme="minorEastAsia"/>
        </w:rPr>
        <w:t>处理方案。</w:t>
      </w:r>
    </w:p>
    <w:p>
      <w:pPr>
        <w:autoSpaceDE w:val="0"/>
        <w:autoSpaceDN w:val="0"/>
        <w:adjustRightInd w:val="0"/>
        <w:ind w:firstLine="562"/>
        <w:jc w:val="left"/>
        <w:outlineLvl w:val="0"/>
        <w:rPr>
          <w:rFonts w:ascii="宋体" w:hAnsi="宋体"/>
          <w:b/>
          <w:szCs w:val="28"/>
        </w:rPr>
      </w:pPr>
      <w:r>
        <w:rPr>
          <w:rFonts w:ascii="宋体" w:hAnsi="宋体"/>
          <w:b/>
          <w:szCs w:val="28"/>
        </w:rPr>
        <w:t>三、</w:t>
      </w:r>
      <w:r>
        <w:rPr>
          <w:rFonts w:hint="eastAsia" w:ascii="宋体" w:hAnsi="宋体"/>
          <w:b/>
          <w:szCs w:val="28"/>
        </w:rPr>
        <w:t>标准预期的社会经济效果</w:t>
      </w:r>
    </w:p>
    <w:p>
      <w:pPr>
        <w:widowControl/>
        <w:ind w:firstLine="560"/>
        <w:jc w:val="left"/>
        <w:rPr>
          <w:rFonts w:ascii="宋体" w:hAnsi="宋体"/>
          <w:szCs w:val="28"/>
        </w:rPr>
      </w:pPr>
      <w:r>
        <w:rPr>
          <w:rFonts w:hint="eastAsia" w:ascii="宋体" w:hAnsi="宋体"/>
          <w:szCs w:val="28"/>
        </w:rPr>
        <w:t>本团体标准的制定和实施，对提升元宇宙环境下的内容安全管理，助力网络虚拟生态内容治理具有重要</w:t>
      </w:r>
      <w:r>
        <w:rPr>
          <w:rFonts w:ascii="宋体" w:hAnsi="宋体"/>
          <w:szCs w:val="28"/>
        </w:rPr>
        <w:t>意义</w:t>
      </w:r>
      <w:r>
        <w:rPr>
          <w:rFonts w:hint="eastAsia" w:ascii="宋体" w:hAnsi="宋体"/>
          <w:szCs w:val="28"/>
        </w:rPr>
        <w:t>。通过针对元宇宙</w:t>
      </w:r>
      <w:r>
        <w:rPr>
          <w:rFonts w:ascii="宋体" w:hAnsi="宋体"/>
          <w:szCs w:val="28"/>
        </w:rPr>
        <w:t>内容风险评估</w:t>
      </w:r>
      <w:r>
        <w:rPr>
          <w:rFonts w:hint="eastAsia" w:ascii="宋体" w:hAnsi="宋体"/>
          <w:szCs w:val="28"/>
        </w:rPr>
        <w:t>指标体系</w:t>
      </w:r>
      <w:r>
        <w:rPr>
          <w:rFonts w:ascii="宋体" w:hAnsi="宋体"/>
          <w:szCs w:val="28"/>
        </w:rPr>
        <w:t>的构建</w:t>
      </w:r>
      <w:r>
        <w:rPr>
          <w:rFonts w:hint="eastAsia" w:ascii="宋体" w:hAnsi="宋体"/>
          <w:szCs w:val="28"/>
        </w:rPr>
        <w:t>，将规范元宇宙</w:t>
      </w:r>
      <w:r>
        <w:rPr>
          <w:rFonts w:ascii="宋体" w:hAnsi="宋体"/>
          <w:szCs w:val="28"/>
        </w:rPr>
        <w:t>环境下</w:t>
      </w:r>
      <w:r>
        <w:rPr>
          <w:rFonts w:hint="eastAsia" w:ascii="宋体" w:hAnsi="宋体"/>
          <w:szCs w:val="28"/>
        </w:rPr>
        <w:t>的</w:t>
      </w:r>
      <w:r>
        <w:rPr>
          <w:rFonts w:ascii="宋体" w:hAnsi="宋体"/>
          <w:szCs w:val="28"/>
        </w:rPr>
        <w:t>产品</w:t>
      </w:r>
      <w:r>
        <w:rPr>
          <w:rFonts w:hint="eastAsia" w:ascii="宋体" w:hAnsi="宋体"/>
          <w:szCs w:val="28"/>
        </w:rPr>
        <w:t>研发</w:t>
      </w:r>
      <w:r>
        <w:rPr>
          <w:rFonts w:ascii="宋体" w:hAnsi="宋体"/>
          <w:szCs w:val="28"/>
        </w:rPr>
        <w:t>、场景</w:t>
      </w:r>
      <w:r>
        <w:rPr>
          <w:rFonts w:hint="eastAsia" w:ascii="宋体" w:hAnsi="宋体"/>
          <w:szCs w:val="28"/>
        </w:rPr>
        <w:t>应用</w:t>
      </w:r>
      <w:r>
        <w:rPr>
          <w:rFonts w:ascii="宋体" w:hAnsi="宋体"/>
          <w:szCs w:val="28"/>
        </w:rPr>
        <w:t>及用户交流和沉浸体验，筑牢元宇宙</w:t>
      </w:r>
      <w:r>
        <w:rPr>
          <w:rFonts w:hint="eastAsia" w:ascii="宋体" w:hAnsi="宋体"/>
          <w:szCs w:val="28"/>
        </w:rPr>
        <w:t>虚拟环境</w:t>
      </w:r>
      <w:r>
        <w:rPr>
          <w:rFonts w:ascii="宋体" w:hAnsi="宋体"/>
          <w:szCs w:val="28"/>
        </w:rPr>
        <w:t>内容安全</w:t>
      </w:r>
      <w:r>
        <w:rPr>
          <w:rFonts w:hint="eastAsia" w:ascii="宋体" w:hAnsi="宋体"/>
          <w:szCs w:val="28"/>
        </w:rPr>
        <w:t>的</w:t>
      </w:r>
      <w:r>
        <w:rPr>
          <w:rFonts w:ascii="宋体" w:hAnsi="宋体"/>
          <w:szCs w:val="28"/>
        </w:rPr>
        <w:t>“护城墙”</w:t>
      </w:r>
      <w:r>
        <w:rPr>
          <w:rFonts w:hint="eastAsia" w:ascii="宋体" w:hAnsi="宋体"/>
          <w:szCs w:val="28"/>
        </w:rPr>
        <w:t>，</w:t>
      </w:r>
      <w:r>
        <w:rPr>
          <w:rFonts w:hint="eastAsia" w:ascii="宋体"/>
        </w:rPr>
        <w:t>协助互联网管理机构</w:t>
      </w:r>
      <w:r>
        <w:rPr>
          <w:rFonts w:ascii="宋体"/>
        </w:rPr>
        <w:t>、平台</w:t>
      </w:r>
      <w:r>
        <w:rPr>
          <w:rFonts w:hint="eastAsia" w:ascii="宋体"/>
        </w:rPr>
        <w:t>企业共同构建</w:t>
      </w:r>
      <w:r>
        <w:rPr>
          <w:rFonts w:hint="eastAsia" w:ascii="宋体"/>
          <w:b/>
        </w:rPr>
        <w:t>风清气正、</w:t>
      </w:r>
      <w:r>
        <w:rPr>
          <w:rFonts w:ascii="宋体"/>
          <w:b/>
        </w:rPr>
        <w:t>健康发展</w:t>
      </w:r>
      <w:r>
        <w:rPr>
          <w:rFonts w:hint="eastAsia" w:ascii="宋体"/>
        </w:rPr>
        <w:t>的元宇宙内容环境新生态；同时</w:t>
      </w:r>
      <w:r>
        <w:rPr>
          <w:rFonts w:hint="eastAsia" w:ascii="宋体" w:hAnsi="宋体"/>
          <w:szCs w:val="28"/>
        </w:rPr>
        <w:t>也将有助</w:t>
      </w:r>
      <w:r>
        <w:rPr>
          <w:rFonts w:ascii="宋体" w:hAnsi="宋体"/>
          <w:szCs w:val="28"/>
        </w:rPr>
        <w:t>于</w:t>
      </w:r>
      <w:r>
        <w:rPr>
          <w:rFonts w:hint="eastAsia" w:ascii="宋体" w:hAnsi="宋体"/>
          <w:szCs w:val="28"/>
        </w:rPr>
        <w:t>规范元宇宙领域</w:t>
      </w:r>
      <w:r>
        <w:rPr>
          <w:rFonts w:ascii="宋体" w:hAnsi="宋体"/>
          <w:szCs w:val="28"/>
        </w:rPr>
        <w:t>的</w:t>
      </w:r>
      <w:r>
        <w:rPr>
          <w:rFonts w:hint="eastAsia" w:ascii="宋体" w:hAnsi="宋体"/>
          <w:szCs w:val="28"/>
        </w:rPr>
        <w:t>知识产权</w:t>
      </w:r>
      <w:r>
        <w:rPr>
          <w:rFonts w:ascii="宋体" w:hAnsi="宋体"/>
          <w:szCs w:val="28"/>
        </w:rPr>
        <w:t>的</w:t>
      </w:r>
      <w:r>
        <w:rPr>
          <w:rFonts w:hint="eastAsia" w:ascii="宋体" w:hAnsi="宋体"/>
          <w:szCs w:val="28"/>
        </w:rPr>
        <w:t>应用与转化，指导</w:t>
      </w:r>
      <w:r>
        <w:rPr>
          <w:rFonts w:ascii="宋体" w:hAnsi="宋体"/>
          <w:szCs w:val="28"/>
        </w:rPr>
        <w:t>元宇宙环境</w:t>
      </w:r>
      <w:r>
        <w:rPr>
          <w:rFonts w:hint="eastAsia" w:ascii="宋体" w:hAnsi="宋体"/>
          <w:szCs w:val="28"/>
        </w:rPr>
        <w:t>下自然人与</w:t>
      </w:r>
      <w:r>
        <w:rPr>
          <w:rFonts w:ascii="宋体" w:hAnsi="宋体"/>
          <w:szCs w:val="28"/>
        </w:rPr>
        <w:t>虚拟环境及</w:t>
      </w:r>
      <w:r>
        <w:rPr>
          <w:rFonts w:hint="eastAsia" w:ascii="宋体" w:hAnsi="宋体"/>
          <w:szCs w:val="28"/>
        </w:rPr>
        <w:t>虚拟人物</w:t>
      </w:r>
      <w:r>
        <w:rPr>
          <w:rFonts w:ascii="宋体" w:hAnsi="宋体"/>
          <w:szCs w:val="28"/>
        </w:rPr>
        <w:t>的交流和互动</w:t>
      </w:r>
      <w:r>
        <w:rPr>
          <w:rFonts w:hint="eastAsia" w:ascii="宋体" w:hAnsi="宋体"/>
          <w:szCs w:val="28"/>
        </w:rPr>
        <w:t>，促进互联网元宇宙</w:t>
      </w:r>
      <w:r>
        <w:rPr>
          <w:rFonts w:ascii="宋体" w:hAnsi="宋体"/>
          <w:szCs w:val="28"/>
        </w:rPr>
        <w:t>产业</w:t>
      </w:r>
      <w:r>
        <w:rPr>
          <w:rFonts w:hint="eastAsia" w:ascii="宋体" w:hAnsi="宋体"/>
          <w:szCs w:val="28"/>
        </w:rPr>
        <w:t>应用</w:t>
      </w:r>
      <w:r>
        <w:rPr>
          <w:rFonts w:ascii="宋体" w:hAnsi="宋体"/>
          <w:szCs w:val="28"/>
        </w:rPr>
        <w:t>场景</w:t>
      </w:r>
      <w:r>
        <w:rPr>
          <w:rFonts w:hint="eastAsia" w:ascii="宋体" w:hAnsi="宋体"/>
          <w:szCs w:val="28"/>
        </w:rPr>
        <w:t>的不断</w:t>
      </w:r>
      <w:r>
        <w:rPr>
          <w:rFonts w:ascii="宋体" w:hAnsi="宋体"/>
          <w:szCs w:val="28"/>
        </w:rPr>
        <w:t>创新和</w:t>
      </w:r>
      <w:r>
        <w:rPr>
          <w:rFonts w:hint="eastAsia" w:ascii="宋体" w:hAnsi="宋体"/>
          <w:szCs w:val="28"/>
        </w:rPr>
        <w:t>拓展</w:t>
      </w:r>
      <w:r>
        <w:rPr>
          <w:rFonts w:hint="eastAsia" w:ascii="宋体"/>
        </w:rPr>
        <w:t>，</w:t>
      </w:r>
      <w:r>
        <w:rPr>
          <w:rFonts w:hint="eastAsia" w:ascii="宋体" w:hAnsi="宋体"/>
          <w:szCs w:val="28"/>
        </w:rPr>
        <w:t>实现元宇宙经济在虚拟环境与现实环境下有效对接，</w:t>
      </w:r>
      <w:r>
        <w:rPr>
          <w:rFonts w:ascii="宋体" w:hAnsi="宋体"/>
          <w:szCs w:val="28"/>
        </w:rPr>
        <w:t>构建“</w:t>
      </w:r>
      <w:r>
        <w:rPr>
          <w:rFonts w:ascii="宋体" w:hAnsi="宋体"/>
          <w:b/>
          <w:szCs w:val="28"/>
        </w:rPr>
        <w:t>共建、</w:t>
      </w:r>
      <w:r>
        <w:rPr>
          <w:rFonts w:hint="eastAsia" w:ascii="宋体" w:hAnsi="宋体"/>
          <w:b/>
          <w:szCs w:val="28"/>
        </w:rPr>
        <w:t>公融</w:t>
      </w:r>
      <w:r>
        <w:rPr>
          <w:rFonts w:ascii="宋体" w:hAnsi="宋体"/>
          <w:b/>
          <w:szCs w:val="28"/>
        </w:rPr>
        <w:t>、共享、共生、共赢</w:t>
      </w:r>
      <w:r>
        <w:rPr>
          <w:rFonts w:ascii="宋体" w:hAnsi="宋体"/>
          <w:szCs w:val="28"/>
        </w:rPr>
        <w:t>”</w:t>
      </w:r>
      <w:r>
        <w:rPr>
          <w:rFonts w:hint="eastAsia" w:ascii="宋体" w:hAnsi="宋体"/>
          <w:szCs w:val="28"/>
        </w:rPr>
        <w:t>元宇宙</w:t>
      </w:r>
      <w:r>
        <w:rPr>
          <w:rFonts w:ascii="宋体" w:hAnsi="宋体"/>
          <w:szCs w:val="28"/>
        </w:rPr>
        <w:t>产业</w:t>
      </w:r>
      <w:r>
        <w:rPr>
          <w:rFonts w:hint="eastAsia" w:ascii="宋体" w:hAnsi="宋体"/>
          <w:szCs w:val="28"/>
        </w:rPr>
        <w:t>新形态，支撑“</w:t>
      </w:r>
      <w:r>
        <w:rPr>
          <w:rFonts w:ascii="宋体" w:hAnsi="宋体"/>
          <w:b/>
          <w:szCs w:val="28"/>
        </w:rPr>
        <w:t>政产学研金介贸媒</w:t>
      </w:r>
      <w:r>
        <w:rPr>
          <w:rFonts w:hint="eastAsia" w:ascii="宋体" w:hAnsi="宋体"/>
          <w:szCs w:val="28"/>
        </w:rPr>
        <w:t>”八位一体的网络数字经济发展新格局。</w:t>
      </w:r>
    </w:p>
    <w:p>
      <w:pPr>
        <w:autoSpaceDE w:val="0"/>
        <w:autoSpaceDN w:val="0"/>
        <w:adjustRightInd w:val="0"/>
        <w:ind w:firstLine="562"/>
        <w:jc w:val="left"/>
        <w:rPr>
          <w:rFonts w:ascii="宋体" w:hAnsi="宋体"/>
          <w:b/>
          <w:szCs w:val="28"/>
        </w:rPr>
      </w:pPr>
      <w:r>
        <w:rPr>
          <w:rFonts w:ascii="宋体" w:hAnsi="宋体"/>
          <w:b/>
          <w:szCs w:val="28"/>
        </w:rPr>
        <w:t>四、</w:t>
      </w:r>
      <w:r>
        <w:rPr>
          <w:rFonts w:hint="eastAsia" w:ascii="宋体" w:hAnsi="宋体"/>
          <w:b/>
          <w:szCs w:val="28"/>
        </w:rPr>
        <w:t>采用国际标准或国外文件的程度及水平的简要说明</w:t>
      </w:r>
    </w:p>
    <w:p>
      <w:pPr>
        <w:autoSpaceDE w:val="0"/>
        <w:autoSpaceDN w:val="0"/>
        <w:adjustRightInd w:val="0"/>
        <w:ind w:firstLine="560"/>
        <w:jc w:val="left"/>
        <w:rPr>
          <w:rFonts w:hint="eastAsia" w:ascii="宋体" w:hAnsi="宋体" w:eastAsia="宋体"/>
          <w:szCs w:val="28"/>
          <w:lang w:eastAsia="zh-CN"/>
        </w:rPr>
      </w:pPr>
      <w:r>
        <w:rPr>
          <w:rFonts w:hint="eastAsia" w:ascii="宋体" w:hAnsi="宋体"/>
          <w:szCs w:val="28"/>
        </w:rPr>
        <w:t>无</w:t>
      </w:r>
      <w:r>
        <w:rPr>
          <w:rFonts w:hint="eastAsia" w:ascii="宋体" w:hAnsi="宋体"/>
          <w:szCs w:val="28"/>
          <w:lang w:eastAsia="zh-CN"/>
        </w:rPr>
        <w:t>。</w:t>
      </w:r>
      <w:bookmarkStart w:id="5" w:name="_GoBack"/>
      <w:bookmarkEnd w:id="5"/>
    </w:p>
    <w:p>
      <w:pPr>
        <w:autoSpaceDE w:val="0"/>
        <w:autoSpaceDN w:val="0"/>
        <w:adjustRightInd w:val="0"/>
        <w:ind w:firstLine="562"/>
        <w:jc w:val="left"/>
        <w:outlineLvl w:val="0"/>
        <w:rPr>
          <w:rFonts w:ascii="宋体" w:hAnsi="宋体"/>
          <w:b/>
          <w:szCs w:val="28"/>
        </w:rPr>
      </w:pPr>
      <w:r>
        <w:rPr>
          <w:rFonts w:ascii="宋体" w:hAnsi="宋体"/>
          <w:b/>
          <w:szCs w:val="28"/>
        </w:rPr>
        <w:t>五、重大分歧意见的处理经过和依据</w:t>
      </w:r>
    </w:p>
    <w:p>
      <w:pPr>
        <w:autoSpaceDE w:val="0"/>
        <w:autoSpaceDN w:val="0"/>
        <w:adjustRightInd w:val="0"/>
        <w:ind w:firstLine="560"/>
        <w:jc w:val="left"/>
        <w:rPr>
          <w:rFonts w:ascii="宋体" w:hAnsi="宋体"/>
          <w:szCs w:val="28"/>
        </w:rPr>
      </w:pPr>
      <w:r>
        <w:rPr>
          <w:rFonts w:hint="eastAsia" w:ascii="宋体" w:hAnsi="宋体"/>
          <w:szCs w:val="28"/>
        </w:rPr>
        <w:t>本标准在制定过程中无重大分歧性意见。</w:t>
      </w:r>
    </w:p>
    <w:p>
      <w:pPr>
        <w:autoSpaceDE w:val="0"/>
        <w:autoSpaceDN w:val="0"/>
        <w:adjustRightInd w:val="0"/>
        <w:ind w:firstLine="562"/>
        <w:jc w:val="left"/>
        <w:outlineLvl w:val="0"/>
        <w:rPr>
          <w:rFonts w:ascii="宋体" w:hAnsi="宋体"/>
          <w:b/>
          <w:szCs w:val="28"/>
        </w:rPr>
      </w:pPr>
      <w:r>
        <w:rPr>
          <w:rFonts w:ascii="宋体" w:hAnsi="宋体"/>
          <w:b/>
          <w:szCs w:val="28"/>
        </w:rPr>
        <w:t>六、</w:t>
      </w:r>
      <w:r>
        <w:rPr>
          <w:rFonts w:hint="eastAsia" w:ascii="宋体" w:hAnsi="宋体"/>
          <w:b/>
          <w:szCs w:val="28"/>
        </w:rPr>
        <w:t>贯彻促进会团体标准的要求和措施建议（包括组织措施、技术措施、过渡办法等内容）</w:t>
      </w:r>
    </w:p>
    <w:p>
      <w:pPr>
        <w:autoSpaceDE w:val="0"/>
        <w:autoSpaceDN w:val="0"/>
        <w:adjustRightInd w:val="0"/>
        <w:ind w:firstLine="560"/>
        <w:jc w:val="left"/>
        <w:rPr>
          <w:rFonts w:ascii="宋体" w:hAnsi="宋体"/>
          <w:szCs w:val="28"/>
        </w:rPr>
      </w:pPr>
      <w:r>
        <w:rPr>
          <w:rFonts w:hint="eastAsia" w:ascii="宋体" w:hAnsi="宋体"/>
          <w:szCs w:val="28"/>
        </w:rPr>
        <w:t>建议本标准自批准发布之日起实施，并由</w:t>
      </w:r>
      <w:r>
        <w:rPr>
          <w:rFonts w:hint="eastAsia" w:ascii="宋体"/>
        </w:rPr>
        <w:t>中国网络社会组织会同</w:t>
      </w:r>
      <w:r>
        <w:rPr>
          <w:rFonts w:ascii="宋体"/>
        </w:rPr>
        <w:t>元宇宙相关互联网企业</w:t>
      </w:r>
      <w:r>
        <w:rPr>
          <w:rFonts w:hint="eastAsia" w:ascii="宋体"/>
        </w:rPr>
        <w:t>共同开展</w:t>
      </w:r>
      <w:r>
        <w:rPr>
          <w:rFonts w:hint="eastAsia" w:ascii="宋体" w:hAnsi="宋体"/>
          <w:szCs w:val="28"/>
        </w:rPr>
        <w:t>对标准的应用实施及</w:t>
      </w:r>
      <w:r>
        <w:rPr>
          <w:rFonts w:ascii="宋体" w:hAnsi="宋体"/>
          <w:szCs w:val="28"/>
        </w:rPr>
        <w:t>推广</w:t>
      </w:r>
      <w:r>
        <w:rPr>
          <w:rFonts w:hint="eastAsia" w:ascii="宋体" w:hAnsi="宋体"/>
          <w:szCs w:val="28"/>
        </w:rPr>
        <w:t>工作。</w:t>
      </w:r>
    </w:p>
    <w:p>
      <w:pPr>
        <w:autoSpaceDE w:val="0"/>
        <w:autoSpaceDN w:val="0"/>
        <w:adjustRightInd w:val="0"/>
        <w:ind w:firstLine="562"/>
        <w:jc w:val="left"/>
        <w:outlineLvl w:val="0"/>
        <w:rPr>
          <w:rFonts w:ascii="宋体" w:hAnsi="宋体"/>
          <w:b/>
          <w:szCs w:val="28"/>
        </w:rPr>
      </w:pPr>
      <w:r>
        <w:rPr>
          <w:rFonts w:ascii="宋体" w:hAnsi="宋体"/>
          <w:b/>
          <w:szCs w:val="28"/>
        </w:rPr>
        <w:t>七、其</w:t>
      </w:r>
      <w:r>
        <w:rPr>
          <w:rFonts w:hint="eastAsia" w:ascii="宋体" w:hAnsi="宋体"/>
          <w:b/>
          <w:szCs w:val="28"/>
        </w:rPr>
        <w:t>他</w:t>
      </w:r>
      <w:r>
        <w:rPr>
          <w:rFonts w:ascii="宋体" w:hAnsi="宋体"/>
          <w:b/>
          <w:szCs w:val="28"/>
        </w:rPr>
        <w:t>应予说明的事项</w:t>
      </w:r>
    </w:p>
    <w:p>
      <w:pPr>
        <w:autoSpaceDE w:val="0"/>
        <w:autoSpaceDN w:val="0"/>
        <w:adjustRightInd w:val="0"/>
        <w:ind w:firstLine="560"/>
        <w:jc w:val="left"/>
        <w:rPr>
          <w:rFonts w:ascii="宋体" w:hAnsi="宋体"/>
          <w:szCs w:val="28"/>
        </w:rPr>
      </w:pPr>
      <w:r>
        <w:rPr>
          <w:rFonts w:hint="eastAsia" w:ascii="宋体" w:hAnsi="宋体"/>
          <w:szCs w:val="28"/>
        </w:rPr>
        <w:t>本标准不涉及</w:t>
      </w:r>
      <w:r>
        <w:rPr>
          <w:rFonts w:ascii="宋体" w:hAnsi="宋体"/>
          <w:szCs w:val="28"/>
        </w:rPr>
        <w:t>专利等</w:t>
      </w:r>
      <w:r>
        <w:rPr>
          <w:rFonts w:hint="eastAsia" w:ascii="宋体" w:hAnsi="宋体"/>
          <w:szCs w:val="28"/>
        </w:rPr>
        <w:t>系相关</w:t>
      </w:r>
      <w:r>
        <w:rPr>
          <w:rFonts w:ascii="宋体" w:hAnsi="宋体"/>
          <w:szCs w:val="28"/>
        </w:rPr>
        <w:t>事项。</w:t>
      </w:r>
    </w:p>
    <w:sectPr>
      <w:headerReference r:id="rId7" w:type="first"/>
      <w:footerReference r:id="rId10" w:type="first"/>
      <w:headerReference r:id="rId5" w:type="default"/>
      <w:footerReference r:id="rId8" w:type="default"/>
      <w:headerReference r:id="rId6" w:type="even"/>
      <w:footerReference r:id="rId9" w:type="even"/>
      <w:pgSz w:w="9923" w:h="15593"/>
      <w:pgMar w:top="1440" w:right="1080" w:bottom="1440" w:left="1080" w:header="156" w:footer="597" w:gutter="0"/>
      <w:pgNumType w:start="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中黑简">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PAGE   \* MERGEFORMAT</w:instrText>
    </w:r>
    <w:r>
      <w:fldChar w:fldCharType="separate"/>
    </w:r>
    <w:r>
      <w:rPr>
        <w:lang w:val="zh-CN"/>
      </w:rPr>
      <w:t>10</w:t>
    </w:r>
    <w:r>
      <w:fldChar w:fldCharType="end"/>
    </w:r>
  </w:p>
  <w:p>
    <w:pPr>
      <w:pStyle w:val="3"/>
      <w:tabs>
        <w:tab w:val="right" w:pos="8789"/>
        <w:tab w:val="center" w:pos="8931"/>
        <w:tab w:val="clear" w:pos="4153"/>
        <w:tab w:val="clear" w:pos="8306"/>
      </w:tabs>
      <w:ind w:right="-28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2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default" w:ascii="宋体" w:hAnsi="宋体"/>
      </w:rPr>
    </w:lvl>
    <w:lvl w:ilvl="4" w:tentative="0">
      <w:start w:val="1"/>
      <w:numFmt w:val="lowerLetter"/>
      <w:lvlText w:val="%5)"/>
      <w:lvlJc w:val="left"/>
      <w:pPr>
        <w:tabs>
          <w:tab w:val="left" w:pos="1271"/>
        </w:tabs>
        <w:ind w:left="1271" w:hanging="419"/>
      </w:pPr>
      <w:rPr>
        <w:rFonts w:hint="default" w:ascii="宋体" w:hAnsi="宋体"/>
      </w:rPr>
    </w:lvl>
    <w:lvl w:ilvl="5" w:tentative="0">
      <w:start w:val="1"/>
      <w:numFmt w:val="lowerRoman"/>
      <w:lvlText w:val="%6."/>
      <w:lvlJc w:val="right"/>
      <w:pPr>
        <w:tabs>
          <w:tab w:val="left" w:pos="2942"/>
        </w:tabs>
        <w:ind w:left="2937" w:hanging="420"/>
      </w:pPr>
      <w:rPr>
        <w:rFonts w:hint="default" w:ascii="宋体" w:hAnsi="宋体"/>
      </w:rPr>
    </w:lvl>
    <w:lvl w:ilvl="6" w:tentative="0">
      <w:start w:val="1"/>
      <w:numFmt w:val="decimal"/>
      <w:lvlText w:val="%7."/>
      <w:lvlJc w:val="left"/>
      <w:pPr>
        <w:tabs>
          <w:tab w:val="left" w:pos="3362"/>
        </w:tabs>
        <w:ind w:left="3356" w:hanging="414"/>
      </w:pPr>
      <w:rPr>
        <w:rFonts w:hint="default" w:ascii="宋体" w:hAnsi="宋体"/>
      </w:rPr>
    </w:lvl>
    <w:lvl w:ilvl="7" w:tentative="0">
      <w:start w:val="1"/>
      <w:numFmt w:val="lowerLetter"/>
      <w:lvlText w:val="%8)"/>
      <w:lvlJc w:val="left"/>
      <w:pPr>
        <w:tabs>
          <w:tab w:val="left" w:pos="3781"/>
        </w:tabs>
        <w:ind w:left="3776" w:hanging="414"/>
      </w:pPr>
      <w:rPr>
        <w:rFonts w:hint="default" w:ascii="宋体" w:hAnsi="宋体"/>
      </w:rPr>
    </w:lvl>
    <w:lvl w:ilvl="8" w:tentative="0">
      <w:start w:val="1"/>
      <w:numFmt w:val="lowerRoman"/>
      <w:lvlText w:val="%9."/>
      <w:lvlJc w:val="right"/>
      <w:pPr>
        <w:tabs>
          <w:tab w:val="left" w:pos="4201"/>
        </w:tabs>
        <w:ind w:left="4201" w:hanging="420"/>
      </w:pPr>
      <w:rPr>
        <w:rFonts w:hint="default" w:ascii="宋体" w:hAnsi="宋体"/>
      </w:rPr>
    </w:lvl>
  </w:abstractNum>
  <w:abstractNum w:abstractNumId="1">
    <w:nsid w:val="7801133A"/>
    <w:multiLevelType w:val="multilevel"/>
    <w:tmpl w:val="7801133A"/>
    <w:lvl w:ilvl="0" w:tentative="0">
      <w:start w:val="2"/>
      <w:numFmt w:val="decimal"/>
      <w:lvlText w:val="%1"/>
      <w:lvlJc w:val="left"/>
      <w:pPr>
        <w:ind w:left="432" w:hanging="432"/>
      </w:pPr>
      <w:rPr>
        <w:rFonts w:hint="default"/>
      </w:rPr>
    </w:lvl>
    <w:lvl w:ilvl="1" w:tentative="0">
      <w:start w:val="2"/>
      <w:numFmt w:val="decimal"/>
      <w:lvlText w:val="%1.%2"/>
      <w:lvlJc w:val="left"/>
      <w:pPr>
        <w:ind w:left="992" w:hanging="432"/>
      </w:pPr>
      <w:rPr>
        <w:rFonts w:hint="default"/>
      </w:rPr>
    </w:lvl>
    <w:lvl w:ilvl="2" w:tentative="0">
      <w:start w:val="1"/>
      <w:numFmt w:val="decimal"/>
      <w:lvlText w:val="%1.%2.%3"/>
      <w:lvlJc w:val="left"/>
      <w:pPr>
        <w:ind w:left="1840" w:hanging="720"/>
      </w:pPr>
      <w:rPr>
        <w:rFonts w:hint="default"/>
      </w:rPr>
    </w:lvl>
    <w:lvl w:ilvl="3" w:tentative="0">
      <w:start w:val="1"/>
      <w:numFmt w:val="decimal"/>
      <w:lvlText w:val="%1.%2.%3.%4"/>
      <w:lvlJc w:val="left"/>
      <w:pPr>
        <w:ind w:left="2760" w:hanging="1080"/>
      </w:pPr>
      <w:rPr>
        <w:rFonts w:hint="default"/>
      </w:rPr>
    </w:lvl>
    <w:lvl w:ilvl="4" w:tentative="0">
      <w:start w:val="1"/>
      <w:numFmt w:val="decimal"/>
      <w:lvlText w:val="%1.%2.%3.%4.%5"/>
      <w:lvlJc w:val="left"/>
      <w:pPr>
        <w:ind w:left="3320" w:hanging="1080"/>
      </w:pPr>
      <w:rPr>
        <w:rFonts w:hint="default"/>
      </w:rPr>
    </w:lvl>
    <w:lvl w:ilvl="5" w:tentative="0">
      <w:start w:val="1"/>
      <w:numFmt w:val="decimal"/>
      <w:lvlText w:val="%1.%2.%3.%4.%5.%6"/>
      <w:lvlJc w:val="left"/>
      <w:pPr>
        <w:ind w:left="4240" w:hanging="1440"/>
      </w:pPr>
      <w:rPr>
        <w:rFonts w:hint="default"/>
      </w:rPr>
    </w:lvl>
    <w:lvl w:ilvl="6" w:tentative="0">
      <w:start w:val="1"/>
      <w:numFmt w:val="decimal"/>
      <w:lvlText w:val="%1.%2.%3.%4.%5.%6.%7"/>
      <w:lvlJc w:val="left"/>
      <w:pPr>
        <w:ind w:left="4800" w:hanging="1440"/>
      </w:pPr>
      <w:rPr>
        <w:rFonts w:hint="default"/>
      </w:rPr>
    </w:lvl>
    <w:lvl w:ilvl="7" w:tentative="0">
      <w:start w:val="1"/>
      <w:numFmt w:val="decimal"/>
      <w:lvlText w:val="%1.%2.%3.%4.%5.%6.%7.%8"/>
      <w:lvlJc w:val="left"/>
      <w:pPr>
        <w:ind w:left="5720" w:hanging="1800"/>
      </w:pPr>
      <w:rPr>
        <w:rFonts w:hint="default"/>
      </w:rPr>
    </w:lvl>
    <w:lvl w:ilvl="8" w:tentative="0">
      <w:start w:val="1"/>
      <w:numFmt w:val="decimal"/>
      <w:lvlText w:val="%1.%2.%3.%4.%5.%6.%7.%8.%9"/>
      <w:lvlJc w:val="left"/>
      <w:pPr>
        <w:ind w:left="6280" w:hanging="1800"/>
      </w:pPr>
      <w:rPr>
        <w:rFont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OGEwOTA4ZGQwYWViNjkxNGE3NDZiYTJjYzhmNmQifQ=="/>
  </w:docVars>
  <w:rsids>
    <w:rsidRoot w:val="00482ECF"/>
    <w:rsid w:val="000018F5"/>
    <w:rsid w:val="00004C42"/>
    <w:rsid w:val="0000543B"/>
    <w:rsid w:val="00016453"/>
    <w:rsid w:val="000200F3"/>
    <w:rsid w:val="000220CE"/>
    <w:rsid w:val="000255E9"/>
    <w:rsid w:val="00026DB9"/>
    <w:rsid w:val="00030A9B"/>
    <w:rsid w:val="000362DC"/>
    <w:rsid w:val="0004370A"/>
    <w:rsid w:val="00045124"/>
    <w:rsid w:val="000525B5"/>
    <w:rsid w:val="0005604C"/>
    <w:rsid w:val="00057818"/>
    <w:rsid w:val="000578DD"/>
    <w:rsid w:val="00057F8B"/>
    <w:rsid w:val="000604F8"/>
    <w:rsid w:val="00070873"/>
    <w:rsid w:val="0008403A"/>
    <w:rsid w:val="000860D1"/>
    <w:rsid w:val="000863A6"/>
    <w:rsid w:val="00086D5B"/>
    <w:rsid w:val="00090E72"/>
    <w:rsid w:val="00091034"/>
    <w:rsid w:val="0009233A"/>
    <w:rsid w:val="0009714B"/>
    <w:rsid w:val="000B0E53"/>
    <w:rsid w:val="000E14E8"/>
    <w:rsid w:val="000E17DC"/>
    <w:rsid w:val="000E2719"/>
    <w:rsid w:val="000F160F"/>
    <w:rsid w:val="000F2D33"/>
    <w:rsid w:val="000F4ACB"/>
    <w:rsid w:val="000F5F2A"/>
    <w:rsid w:val="00100EB5"/>
    <w:rsid w:val="00102DAA"/>
    <w:rsid w:val="001058E3"/>
    <w:rsid w:val="00105A87"/>
    <w:rsid w:val="0011260B"/>
    <w:rsid w:val="00114046"/>
    <w:rsid w:val="001175A6"/>
    <w:rsid w:val="001204DA"/>
    <w:rsid w:val="0012170D"/>
    <w:rsid w:val="0012330F"/>
    <w:rsid w:val="00123476"/>
    <w:rsid w:val="00123496"/>
    <w:rsid w:val="00125B80"/>
    <w:rsid w:val="0013190B"/>
    <w:rsid w:val="001341D3"/>
    <w:rsid w:val="00134BC0"/>
    <w:rsid w:val="00135275"/>
    <w:rsid w:val="00136328"/>
    <w:rsid w:val="0014128C"/>
    <w:rsid w:val="001414F4"/>
    <w:rsid w:val="00143BD9"/>
    <w:rsid w:val="001510A6"/>
    <w:rsid w:val="00151CCE"/>
    <w:rsid w:val="00152D2B"/>
    <w:rsid w:val="001569C7"/>
    <w:rsid w:val="00166FB6"/>
    <w:rsid w:val="001672D0"/>
    <w:rsid w:val="001759EC"/>
    <w:rsid w:val="001820B4"/>
    <w:rsid w:val="001924EC"/>
    <w:rsid w:val="001A057D"/>
    <w:rsid w:val="001C2F2A"/>
    <w:rsid w:val="001E00EC"/>
    <w:rsid w:val="001E3EC7"/>
    <w:rsid w:val="001E62DE"/>
    <w:rsid w:val="001F0207"/>
    <w:rsid w:val="00201CB8"/>
    <w:rsid w:val="00203F74"/>
    <w:rsid w:val="00205899"/>
    <w:rsid w:val="0022372C"/>
    <w:rsid w:val="00223D2D"/>
    <w:rsid w:val="00250AA6"/>
    <w:rsid w:val="00253FEB"/>
    <w:rsid w:val="002547E1"/>
    <w:rsid w:val="00254B55"/>
    <w:rsid w:val="002566DA"/>
    <w:rsid w:val="00264450"/>
    <w:rsid w:val="00274B8C"/>
    <w:rsid w:val="00274FC3"/>
    <w:rsid w:val="002803A7"/>
    <w:rsid w:val="00280F4E"/>
    <w:rsid w:val="002818EB"/>
    <w:rsid w:val="00281F21"/>
    <w:rsid w:val="00283693"/>
    <w:rsid w:val="00284611"/>
    <w:rsid w:val="00294F6C"/>
    <w:rsid w:val="002A7B59"/>
    <w:rsid w:val="002B1C69"/>
    <w:rsid w:val="002B2E35"/>
    <w:rsid w:val="002C2493"/>
    <w:rsid w:val="002C60CF"/>
    <w:rsid w:val="002D6927"/>
    <w:rsid w:val="002D6A3B"/>
    <w:rsid w:val="002E0CF0"/>
    <w:rsid w:val="002E0D37"/>
    <w:rsid w:val="002E17CA"/>
    <w:rsid w:val="002E7039"/>
    <w:rsid w:val="002F6D71"/>
    <w:rsid w:val="003036DF"/>
    <w:rsid w:val="00303899"/>
    <w:rsid w:val="003145BF"/>
    <w:rsid w:val="003161F9"/>
    <w:rsid w:val="0032280D"/>
    <w:rsid w:val="003342B1"/>
    <w:rsid w:val="00340D06"/>
    <w:rsid w:val="00344A12"/>
    <w:rsid w:val="0035189D"/>
    <w:rsid w:val="003526BC"/>
    <w:rsid w:val="00353E31"/>
    <w:rsid w:val="00360711"/>
    <w:rsid w:val="003625B0"/>
    <w:rsid w:val="003670EC"/>
    <w:rsid w:val="00373454"/>
    <w:rsid w:val="00375BB0"/>
    <w:rsid w:val="00376C28"/>
    <w:rsid w:val="00384524"/>
    <w:rsid w:val="0039079C"/>
    <w:rsid w:val="00392B0E"/>
    <w:rsid w:val="0039676A"/>
    <w:rsid w:val="00396F3A"/>
    <w:rsid w:val="003A1046"/>
    <w:rsid w:val="003A1FA6"/>
    <w:rsid w:val="003B047B"/>
    <w:rsid w:val="003B1063"/>
    <w:rsid w:val="003B1212"/>
    <w:rsid w:val="003B1978"/>
    <w:rsid w:val="003B27FC"/>
    <w:rsid w:val="003B7BC9"/>
    <w:rsid w:val="003C3A5F"/>
    <w:rsid w:val="003C4419"/>
    <w:rsid w:val="003C50D2"/>
    <w:rsid w:val="003C668B"/>
    <w:rsid w:val="003D6793"/>
    <w:rsid w:val="003E0510"/>
    <w:rsid w:val="003E0983"/>
    <w:rsid w:val="0040132E"/>
    <w:rsid w:val="00404210"/>
    <w:rsid w:val="00404F1D"/>
    <w:rsid w:val="004139C9"/>
    <w:rsid w:val="00416700"/>
    <w:rsid w:val="004206B1"/>
    <w:rsid w:val="00426492"/>
    <w:rsid w:val="00430BC2"/>
    <w:rsid w:val="00441C80"/>
    <w:rsid w:val="00441DD1"/>
    <w:rsid w:val="00443654"/>
    <w:rsid w:val="004457F4"/>
    <w:rsid w:val="00445B6D"/>
    <w:rsid w:val="004563D0"/>
    <w:rsid w:val="00457F30"/>
    <w:rsid w:val="00460A37"/>
    <w:rsid w:val="004658C3"/>
    <w:rsid w:val="0046704C"/>
    <w:rsid w:val="00467E6C"/>
    <w:rsid w:val="00471750"/>
    <w:rsid w:val="00474233"/>
    <w:rsid w:val="004752FD"/>
    <w:rsid w:val="00476F1C"/>
    <w:rsid w:val="00482ECF"/>
    <w:rsid w:val="00486D4D"/>
    <w:rsid w:val="004926F3"/>
    <w:rsid w:val="0049798F"/>
    <w:rsid w:val="004A49DD"/>
    <w:rsid w:val="004A7F68"/>
    <w:rsid w:val="004B0580"/>
    <w:rsid w:val="004B09FE"/>
    <w:rsid w:val="004B22FE"/>
    <w:rsid w:val="004B7B94"/>
    <w:rsid w:val="004C4A7B"/>
    <w:rsid w:val="004D1E4E"/>
    <w:rsid w:val="004D56C9"/>
    <w:rsid w:val="004E1DCF"/>
    <w:rsid w:val="004E470C"/>
    <w:rsid w:val="004E4AF5"/>
    <w:rsid w:val="004E7580"/>
    <w:rsid w:val="004E77C0"/>
    <w:rsid w:val="004F5AE1"/>
    <w:rsid w:val="004F6129"/>
    <w:rsid w:val="00504AC5"/>
    <w:rsid w:val="005127FD"/>
    <w:rsid w:val="00513501"/>
    <w:rsid w:val="0052058A"/>
    <w:rsid w:val="00520D20"/>
    <w:rsid w:val="00523217"/>
    <w:rsid w:val="00527833"/>
    <w:rsid w:val="00556F99"/>
    <w:rsid w:val="00563021"/>
    <w:rsid w:val="00564418"/>
    <w:rsid w:val="00565566"/>
    <w:rsid w:val="00566CE4"/>
    <w:rsid w:val="005704E9"/>
    <w:rsid w:val="00575673"/>
    <w:rsid w:val="0058480C"/>
    <w:rsid w:val="00587CC3"/>
    <w:rsid w:val="00595E6B"/>
    <w:rsid w:val="005A24D5"/>
    <w:rsid w:val="005A31A9"/>
    <w:rsid w:val="005A40B8"/>
    <w:rsid w:val="005B46BC"/>
    <w:rsid w:val="005B4AA9"/>
    <w:rsid w:val="005C5FE7"/>
    <w:rsid w:val="005D03BF"/>
    <w:rsid w:val="005D2662"/>
    <w:rsid w:val="005D56E7"/>
    <w:rsid w:val="005D6136"/>
    <w:rsid w:val="005E59F3"/>
    <w:rsid w:val="005F5939"/>
    <w:rsid w:val="00600655"/>
    <w:rsid w:val="006010BE"/>
    <w:rsid w:val="00610F27"/>
    <w:rsid w:val="00613225"/>
    <w:rsid w:val="0061507E"/>
    <w:rsid w:val="00633957"/>
    <w:rsid w:val="00641033"/>
    <w:rsid w:val="00651665"/>
    <w:rsid w:val="0065510C"/>
    <w:rsid w:val="0065637B"/>
    <w:rsid w:val="0066024E"/>
    <w:rsid w:val="00663706"/>
    <w:rsid w:val="00663AA2"/>
    <w:rsid w:val="006762D0"/>
    <w:rsid w:val="006839FE"/>
    <w:rsid w:val="00686322"/>
    <w:rsid w:val="00687D35"/>
    <w:rsid w:val="00692160"/>
    <w:rsid w:val="006930C3"/>
    <w:rsid w:val="0069793D"/>
    <w:rsid w:val="006A00F1"/>
    <w:rsid w:val="006A1B0F"/>
    <w:rsid w:val="006A7FEC"/>
    <w:rsid w:val="006B3600"/>
    <w:rsid w:val="006C0B9F"/>
    <w:rsid w:val="006C4CBA"/>
    <w:rsid w:val="006C4CE3"/>
    <w:rsid w:val="006D158B"/>
    <w:rsid w:val="006E18BF"/>
    <w:rsid w:val="006E209A"/>
    <w:rsid w:val="006F279C"/>
    <w:rsid w:val="006F39C1"/>
    <w:rsid w:val="00710105"/>
    <w:rsid w:val="00710280"/>
    <w:rsid w:val="00713619"/>
    <w:rsid w:val="007169ED"/>
    <w:rsid w:val="00721E22"/>
    <w:rsid w:val="007245F9"/>
    <w:rsid w:val="007258AD"/>
    <w:rsid w:val="00725BDE"/>
    <w:rsid w:val="007311F4"/>
    <w:rsid w:val="0073318D"/>
    <w:rsid w:val="00740603"/>
    <w:rsid w:val="007411FB"/>
    <w:rsid w:val="00750BB6"/>
    <w:rsid w:val="00752EA9"/>
    <w:rsid w:val="0076075F"/>
    <w:rsid w:val="00763410"/>
    <w:rsid w:val="007700DC"/>
    <w:rsid w:val="00773BB7"/>
    <w:rsid w:val="0077614F"/>
    <w:rsid w:val="0078171E"/>
    <w:rsid w:val="00787871"/>
    <w:rsid w:val="00795C69"/>
    <w:rsid w:val="007A72B9"/>
    <w:rsid w:val="007B0407"/>
    <w:rsid w:val="007B2707"/>
    <w:rsid w:val="007B43B9"/>
    <w:rsid w:val="007C0743"/>
    <w:rsid w:val="007D099E"/>
    <w:rsid w:val="007D5944"/>
    <w:rsid w:val="007D66B3"/>
    <w:rsid w:val="007E582D"/>
    <w:rsid w:val="007E7E83"/>
    <w:rsid w:val="007F2E43"/>
    <w:rsid w:val="007F6631"/>
    <w:rsid w:val="00801011"/>
    <w:rsid w:val="00811C98"/>
    <w:rsid w:val="00813E57"/>
    <w:rsid w:val="00815C6F"/>
    <w:rsid w:val="0082764E"/>
    <w:rsid w:val="00841310"/>
    <w:rsid w:val="008416E6"/>
    <w:rsid w:val="00845F19"/>
    <w:rsid w:val="008553A9"/>
    <w:rsid w:val="00861569"/>
    <w:rsid w:val="00881F84"/>
    <w:rsid w:val="00882626"/>
    <w:rsid w:val="00885BA8"/>
    <w:rsid w:val="00892CFE"/>
    <w:rsid w:val="008A1A5C"/>
    <w:rsid w:val="008B2458"/>
    <w:rsid w:val="008C3529"/>
    <w:rsid w:val="008C38D5"/>
    <w:rsid w:val="008C6737"/>
    <w:rsid w:val="008D0DBE"/>
    <w:rsid w:val="008D5A64"/>
    <w:rsid w:val="008D7176"/>
    <w:rsid w:val="00900515"/>
    <w:rsid w:val="00912865"/>
    <w:rsid w:val="00913348"/>
    <w:rsid w:val="00916853"/>
    <w:rsid w:val="00930C1F"/>
    <w:rsid w:val="00936F01"/>
    <w:rsid w:val="00941A7E"/>
    <w:rsid w:val="009514F1"/>
    <w:rsid w:val="00952D75"/>
    <w:rsid w:val="00964E80"/>
    <w:rsid w:val="00971B3B"/>
    <w:rsid w:val="00972639"/>
    <w:rsid w:val="009747E5"/>
    <w:rsid w:val="00974D86"/>
    <w:rsid w:val="009827AD"/>
    <w:rsid w:val="00993336"/>
    <w:rsid w:val="009978A1"/>
    <w:rsid w:val="009A6E7A"/>
    <w:rsid w:val="009B0602"/>
    <w:rsid w:val="009C4061"/>
    <w:rsid w:val="009C7DEC"/>
    <w:rsid w:val="009D0EBA"/>
    <w:rsid w:val="009D289A"/>
    <w:rsid w:val="009D45C6"/>
    <w:rsid w:val="009D54A6"/>
    <w:rsid w:val="009D6A16"/>
    <w:rsid w:val="009D6BF6"/>
    <w:rsid w:val="009E1513"/>
    <w:rsid w:val="009E4637"/>
    <w:rsid w:val="009F5B6F"/>
    <w:rsid w:val="00A02387"/>
    <w:rsid w:val="00A04963"/>
    <w:rsid w:val="00A14931"/>
    <w:rsid w:val="00A1499D"/>
    <w:rsid w:val="00A15429"/>
    <w:rsid w:val="00A16307"/>
    <w:rsid w:val="00A16348"/>
    <w:rsid w:val="00A308DA"/>
    <w:rsid w:val="00A405EB"/>
    <w:rsid w:val="00A4395A"/>
    <w:rsid w:val="00A468D6"/>
    <w:rsid w:val="00A603C9"/>
    <w:rsid w:val="00A63DC9"/>
    <w:rsid w:val="00A659F1"/>
    <w:rsid w:val="00A676E3"/>
    <w:rsid w:val="00A72EDA"/>
    <w:rsid w:val="00A80CD4"/>
    <w:rsid w:val="00A8117F"/>
    <w:rsid w:val="00A85C26"/>
    <w:rsid w:val="00A9195C"/>
    <w:rsid w:val="00AA0841"/>
    <w:rsid w:val="00AA1C23"/>
    <w:rsid w:val="00AB08C6"/>
    <w:rsid w:val="00AB1EA6"/>
    <w:rsid w:val="00AB4552"/>
    <w:rsid w:val="00AC31FE"/>
    <w:rsid w:val="00AD3486"/>
    <w:rsid w:val="00AD3A65"/>
    <w:rsid w:val="00AD7F4A"/>
    <w:rsid w:val="00AE3EF9"/>
    <w:rsid w:val="00AE5476"/>
    <w:rsid w:val="00AE7438"/>
    <w:rsid w:val="00AF640E"/>
    <w:rsid w:val="00AF6EAD"/>
    <w:rsid w:val="00B1373E"/>
    <w:rsid w:val="00B13D73"/>
    <w:rsid w:val="00B22BAF"/>
    <w:rsid w:val="00B42BDE"/>
    <w:rsid w:val="00B47671"/>
    <w:rsid w:val="00B557BC"/>
    <w:rsid w:val="00B64929"/>
    <w:rsid w:val="00B6725F"/>
    <w:rsid w:val="00B74A5A"/>
    <w:rsid w:val="00B762B4"/>
    <w:rsid w:val="00B80489"/>
    <w:rsid w:val="00B82A3E"/>
    <w:rsid w:val="00B82FFD"/>
    <w:rsid w:val="00B90F3D"/>
    <w:rsid w:val="00B90F52"/>
    <w:rsid w:val="00B924C5"/>
    <w:rsid w:val="00BA1B95"/>
    <w:rsid w:val="00BA22EA"/>
    <w:rsid w:val="00BA4B2E"/>
    <w:rsid w:val="00BA528C"/>
    <w:rsid w:val="00BA56A8"/>
    <w:rsid w:val="00BB7B0F"/>
    <w:rsid w:val="00BC2946"/>
    <w:rsid w:val="00BC371C"/>
    <w:rsid w:val="00BD215B"/>
    <w:rsid w:val="00BE3D3C"/>
    <w:rsid w:val="00BF1F33"/>
    <w:rsid w:val="00BF41EA"/>
    <w:rsid w:val="00BF7D86"/>
    <w:rsid w:val="00C017B7"/>
    <w:rsid w:val="00C07E47"/>
    <w:rsid w:val="00C128D3"/>
    <w:rsid w:val="00C1773F"/>
    <w:rsid w:val="00C2013A"/>
    <w:rsid w:val="00C22992"/>
    <w:rsid w:val="00C31684"/>
    <w:rsid w:val="00C31688"/>
    <w:rsid w:val="00C316AD"/>
    <w:rsid w:val="00C3288E"/>
    <w:rsid w:val="00C35A85"/>
    <w:rsid w:val="00C40DA4"/>
    <w:rsid w:val="00C426FB"/>
    <w:rsid w:val="00C53A19"/>
    <w:rsid w:val="00C5543F"/>
    <w:rsid w:val="00C57113"/>
    <w:rsid w:val="00C647EB"/>
    <w:rsid w:val="00C73E68"/>
    <w:rsid w:val="00C87FCB"/>
    <w:rsid w:val="00C93F45"/>
    <w:rsid w:val="00C958A3"/>
    <w:rsid w:val="00C97438"/>
    <w:rsid w:val="00CA3931"/>
    <w:rsid w:val="00CA406A"/>
    <w:rsid w:val="00CA744F"/>
    <w:rsid w:val="00CB346C"/>
    <w:rsid w:val="00CC12D3"/>
    <w:rsid w:val="00CC448D"/>
    <w:rsid w:val="00CC4531"/>
    <w:rsid w:val="00CC73D9"/>
    <w:rsid w:val="00CC7A3A"/>
    <w:rsid w:val="00CD1BC7"/>
    <w:rsid w:val="00CD2098"/>
    <w:rsid w:val="00CD38BB"/>
    <w:rsid w:val="00CD6D3C"/>
    <w:rsid w:val="00CE2336"/>
    <w:rsid w:val="00CE3D57"/>
    <w:rsid w:val="00CE5BAA"/>
    <w:rsid w:val="00CE7482"/>
    <w:rsid w:val="00D015FB"/>
    <w:rsid w:val="00D15776"/>
    <w:rsid w:val="00D22898"/>
    <w:rsid w:val="00D26321"/>
    <w:rsid w:val="00D43821"/>
    <w:rsid w:val="00D539B7"/>
    <w:rsid w:val="00D55E76"/>
    <w:rsid w:val="00D65271"/>
    <w:rsid w:val="00D717EC"/>
    <w:rsid w:val="00D75905"/>
    <w:rsid w:val="00D76224"/>
    <w:rsid w:val="00D80510"/>
    <w:rsid w:val="00D8095C"/>
    <w:rsid w:val="00DB2D24"/>
    <w:rsid w:val="00DB4207"/>
    <w:rsid w:val="00DB7825"/>
    <w:rsid w:val="00DB7CC6"/>
    <w:rsid w:val="00DC1D3D"/>
    <w:rsid w:val="00DC69E7"/>
    <w:rsid w:val="00DD2E46"/>
    <w:rsid w:val="00DD4165"/>
    <w:rsid w:val="00DD71B3"/>
    <w:rsid w:val="00DE263D"/>
    <w:rsid w:val="00DE29D7"/>
    <w:rsid w:val="00DF2677"/>
    <w:rsid w:val="00DF27B8"/>
    <w:rsid w:val="00DF367F"/>
    <w:rsid w:val="00E00BBE"/>
    <w:rsid w:val="00E07CF3"/>
    <w:rsid w:val="00E1142F"/>
    <w:rsid w:val="00E13B0E"/>
    <w:rsid w:val="00E20778"/>
    <w:rsid w:val="00E27782"/>
    <w:rsid w:val="00E31357"/>
    <w:rsid w:val="00E32448"/>
    <w:rsid w:val="00E42E64"/>
    <w:rsid w:val="00E63645"/>
    <w:rsid w:val="00E63AB8"/>
    <w:rsid w:val="00E64833"/>
    <w:rsid w:val="00E67362"/>
    <w:rsid w:val="00E70D56"/>
    <w:rsid w:val="00E748F8"/>
    <w:rsid w:val="00E74E82"/>
    <w:rsid w:val="00E75144"/>
    <w:rsid w:val="00E777E0"/>
    <w:rsid w:val="00E820F2"/>
    <w:rsid w:val="00E838BB"/>
    <w:rsid w:val="00E8509D"/>
    <w:rsid w:val="00E8589D"/>
    <w:rsid w:val="00E868B0"/>
    <w:rsid w:val="00E93163"/>
    <w:rsid w:val="00E952DC"/>
    <w:rsid w:val="00EA0159"/>
    <w:rsid w:val="00EA03D0"/>
    <w:rsid w:val="00EA2FA6"/>
    <w:rsid w:val="00EC77AD"/>
    <w:rsid w:val="00EE511B"/>
    <w:rsid w:val="00EE69A9"/>
    <w:rsid w:val="00EF325E"/>
    <w:rsid w:val="00EF3CE4"/>
    <w:rsid w:val="00EF6354"/>
    <w:rsid w:val="00F00366"/>
    <w:rsid w:val="00F00BBC"/>
    <w:rsid w:val="00F01B84"/>
    <w:rsid w:val="00F037FB"/>
    <w:rsid w:val="00F04679"/>
    <w:rsid w:val="00F075B7"/>
    <w:rsid w:val="00F1735F"/>
    <w:rsid w:val="00F201E8"/>
    <w:rsid w:val="00F20F08"/>
    <w:rsid w:val="00F21E7E"/>
    <w:rsid w:val="00F40CA1"/>
    <w:rsid w:val="00F45317"/>
    <w:rsid w:val="00F45580"/>
    <w:rsid w:val="00F464B4"/>
    <w:rsid w:val="00F52895"/>
    <w:rsid w:val="00F5291D"/>
    <w:rsid w:val="00F52EBB"/>
    <w:rsid w:val="00F56310"/>
    <w:rsid w:val="00F62248"/>
    <w:rsid w:val="00F6636F"/>
    <w:rsid w:val="00F73CBD"/>
    <w:rsid w:val="00F84E96"/>
    <w:rsid w:val="00F9017F"/>
    <w:rsid w:val="00FA20EA"/>
    <w:rsid w:val="00FA217D"/>
    <w:rsid w:val="00FA556A"/>
    <w:rsid w:val="00FB1D20"/>
    <w:rsid w:val="00FB3D15"/>
    <w:rsid w:val="00FC0BBF"/>
    <w:rsid w:val="00FC1D46"/>
    <w:rsid w:val="00FD2DA3"/>
    <w:rsid w:val="00FD3125"/>
    <w:rsid w:val="00FD328F"/>
    <w:rsid w:val="00FD726C"/>
    <w:rsid w:val="00FE6557"/>
    <w:rsid w:val="00FF70D4"/>
    <w:rsid w:val="00FF7604"/>
    <w:rsid w:val="00FF7A1A"/>
    <w:rsid w:val="3B067E42"/>
    <w:rsid w:val="3D0F6B5A"/>
    <w:rsid w:val="5D4E3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spacing w:line="240" w:lineRule="auto"/>
      <w:ind w:left="1050" w:hanging="210"/>
      <w:jc w:val="left"/>
    </w:pPr>
    <w:rPr>
      <w:rFonts w:ascii="Calibri" w:hAnsi="Calibri"/>
      <w:sz w:val="20"/>
      <w:szCs w:val="20"/>
    </w:rPr>
  </w:style>
  <w:style w:type="paragraph" w:styleId="3">
    <w:name w:val="footer"/>
    <w:basedOn w:val="1"/>
    <w:link w:val="10"/>
    <w:qFormat/>
    <w:uiPriority w:val="99"/>
    <w:pPr>
      <w:widowControl/>
      <w:tabs>
        <w:tab w:val="center" w:pos="4153"/>
        <w:tab w:val="right" w:pos="8306"/>
      </w:tabs>
      <w:snapToGrid w:val="0"/>
      <w:jc w:val="left"/>
    </w:pPr>
    <w:rPr>
      <w:rFonts w:asciiTheme="minorHAnsi" w:hAnsiTheme="minorHAnsi" w:eastAsiaTheme="minorEastAsia" w:cstheme="minorBidi"/>
      <w:sz w:val="18"/>
      <w:szCs w:val="22"/>
    </w:rPr>
  </w:style>
  <w:style w:type="paragraph" w:styleId="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页脚 字符"/>
    <w:link w:val="3"/>
    <w:qFormat/>
    <w:uiPriority w:val="99"/>
    <w:rPr>
      <w:sz w:val="18"/>
    </w:rPr>
  </w:style>
  <w:style w:type="character" w:customStyle="1" w:styleId="11">
    <w:name w:val="页脚 Char"/>
    <w:basedOn w:val="7"/>
    <w:semiHidden/>
    <w:qFormat/>
    <w:uiPriority w:val="99"/>
    <w:rPr>
      <w:rFonts w:ascii="Times New Roman" w:hAnsi="Times New Roman" w:eastAsia="宋体" w:cs="Times New Roman"/>
      <w:sz w:val="18"/>
      <w:szCs w:val="18"/>
    </w:rPr>
  </w:style>
  <w:style w:type="character" w:customStyle="1" w:styleId="12">
    <w:name w:val="段 Char"/>
    <w:link w:val="13"/>
    <w:qFormat/>
    <w:uiPriority w:val="0"/>
    <w:rPr>
      <w:rFonts w:ascii="宋体"/>
    </w:rPr>
  </w:style>
  <w:style w:type="paragraph" w:customStyle="1" w:styleId="13">
    <w:name w:val="段"/>
    <w:link w:val="12"/>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1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5">
    <w:name w:val="章标题"/>
    <w:next w:val="13"/>
    <w:link w:val="20"/>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styleId="16">
    <w:name w:val="List Paragraph"/>
    <w:basedOn w:val="1"/>
    <w:qFormat/>
    <w:uiPriority w:val="34"/>
    <w:pPr>
      <w:ind w:firstLine="420"/>
    </w:pPr>
  </w:style>
  <w:style w:type="paragraph" w:customStyle="1" w:styleId="17">
    <w:name w:val="正文表标题"/>
    <w:next w:val="13"/>
    <w:qFormat/>
    <w:uiPriority w:val="0"/>
    <w:pPr>
      <w:tabs>
        <w:tab w:val="left" w:pos="360"/>
      </w:tabs>
      <w:spacing w:beforeLines="50" w:afterLines="50"/>
      <w:ind w:left="3544"/>
      <w:jc w:val="center"/>
    </w:pPr>
    <w:rPr>
      <w:rFonts w:ascii="黑体" w:hAnsi="Times New Roman" w:eastAsia="黑体" w:cs="Times New Roman"/>
      <w:kern w:val="0"/>
      <w:sz w:val="21"/>
      <w:szCs w:val="20"/>
      <w:lang w:val="en-US" w:eastAsia="zh-CN" w:bidi="ar-SA"/>
    </w:rPr>
  </w:style>
  <w:style w:type="character" w:customStyle="1" w:styleId="18">
    <w:name w:val="fontstyle01"/>
    <w:basedOn w:val="7"/>
    <w:qFormat/>
    <w:uiPriority w:val="0"/>
    <w:rPr>
      <w:rFonts w:hint="eastAsia" w:ascii="黑体" w:hAnsi="黑体" w:eastAsia="黑体"/>
      <w:color w:val="000000"/>
      <w:sz w:val="28"/>
      <w:szCs w:val="28"/>
    </w:rPr>
  </w:style>
  <w:style w:type="character" w:customStyle="1" w:styleId="19">
    <w:name w:val="fontstyle11"/>
    <w:basedOn w:val="7"/>
    <w:qFormat/>
    <w:uiPriority w:val="0"/>
    <w:rPr>
      <w:rFonts w:hint="default" w:ascii="Times New Roman" w:hAnsi="Times New Roman" w:cs="Times New Roman"/>
      <w:color w:val="000000"/>
      <w:sz w:val="18"/>
      <w:szCs w:val="18"/>
    </w:rPr>
  </w:style>
  <w:style w:type="character" w:customStyle="1" w:styleId="20">
    <w:name w:val="章标题 字符"/>
    <w:link w:val="15"/>
    <w:qFormat/>
    <w:uiPriority w:val="0"/>
    <w:rPr>
      <w:rFonts w:ascii="黑体" w:hAnsi="Times New Roman" w:eastAsia="黑体" w:cs="Times New Roman"/>
      <w:kern w:val="0"/>
      <w:szCs w:val="20"/>
    </w:rPr>
  </w:style>
  <w:style w:type="paragraph" w:customStyle="1" w:styleId="21">
    <w:name w:val="标准文件_段"/>
    <w:link w:val="22"/>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2">
    <w:name w:val="标准文件_段 Char"/>
    <w:link w:val="21"/>
    <w:qFormat/>
    <w:locked/>
    <w:uiPriority w:val="0"/>
    <w:rPr>
      <w:rFonts w:ascii="宋体" w:hAnsi="Times New Roman" w:eastAsia="宋体" w:cs="Times New Roman"/>
      <w:kern w:val="0"/>
      <w:szCs w:val="20"/>
    </w:rPr>
  </w:style>
  <w:style w:type="paragraph" w:customStyle="1" w:styleId="23">
    <w:name w:val="字母编号列项（一级）"/>
    <w:qFormat/>
    <w:uiPriority w:val="0"/>
    <w:pPr>
      <w:numPr>
        <w:ilvl w:val="0"/>
        <w:numId w:val="1"/>
      </w:numPr>
      <w:jc w:val="both"/>
    </w:pPr>
    <w:rPr>
      <w:rFonts w:ascii="宋体" w:hAnsi="Times New Roman" w:eastAsia="宋体" w:cs="Times New Roman"/>
      <w:kern w:val="0"/>
      <w:sz w:val="21"/>
      <w:szCs w:val="20"/>
      <w:lang w:val="en-US" w:eastAsia="zh-CN" w:bidi="ar-SA"/>
    </w:rPr>
  </w:style>
  <w:style w:type="character" w:customStyle="1" w:styleId="24">
    <w:name w:val="一级条标题 Char"/>
    <w:link w:val="25"/>
    <w:qFormat/>
    <w:uiPriority w:val="99"/>
    <w:rPr>
      <w:rFonts w:ascii="黑体" w:eastAsia="黑体"/>
    </w:rPr>
  </w:style>
  <w:style w:type="paragraph" w:customStyle="1" w:styleId="25">
    <w:name w:val="一级条标题"/>
    <w:basedOn w:val="15"/>
    <w:next w:val="13"/>
    <w:link w:val="24"/>
    <w:qFormat/>
    <w:uiPriority w:val="99"/>
    <w:pPr>
      <w:spacing w:beforeLines="0" w:afterLines="0"/>
      <w:outlineLvl w:val="2"/>
    </w:pPr>
    <w:rPr>
      <w:rFonts w:hAnsiTheme="minorHAnsi" w:cstheme="minorBidi"/>
      <w:kern w:val="2"/>
      <w:szCs w:val="22"/>
    </w:rPr>
  </w:style>
  <w:style w:type="paragraph" w:customStyle="1" w:styleId="26">
    <w:name w:val="二级条标题"/>
    <w:basedOn w:val="1"/>
    <w:next w:val="13"/>
    <w:qFormat/>
    <w:uiPriority w:val="0"/>
    <w:pPr>
      <w:widowControl/>
      <w:spacing w:line="240" w:lineRule="auto"/>
      <w:outlineLvl w:val="3"/>
    </w:pPr>
    <w:rPr>
      <w:rFonts w:ascii="黑体" w:eastAsia="黑体"/>
      <w:kern w:val="0"/>
      <w:sz w:val="21"/>
      <w:szCs w:val="20"/>
    </w:rPr>
  </w:style>
  <w:style w:type="paragraph" w:customStyle="1" w:styleId="27">
    <w:name w:val="数字编号列项（二级）"/>
    <w:qFormat/>
    <w:uiPriority w:val="0"/>
    <w:pPr>
      <w:tabs>
        <w:tab w:val="left" w:pos="1259"/>
      </w:tabs>
      <w:ind w:left="1259" w:hanging="420"/>
      <w:jc w:val="both"/>
    </w:pPr>
    <w:rPr>
      <w:rFonts w:ascii="宋体" w:hAnsi="Times New Roman" w:eastAsia="宋体" w:cs="Times New Roman"/>
      <w:kern w:val="0"/>
      <w:sz w:val="21"/>
      <w:szCs w:val="20"/>
      <w:lang w:val="en-US" w:eastAsia="zh-CN" w:bidi="ar-SA"/>
    </w:rPr>
  </w:style>
  <w:style w:type="paragraph" w:customStyle="1" w:styleId="28">
    <w:name w:val="编号列项（三级）"/>
    <w:qFormat/>
    <w:uiPriority w:val="0"/>
    <w:pPr>
      <w:tabs>
        <w:tab w:val="left" w:pos="0"/>
      </w:tabs>
      <w:ind w:left="1678" w:hanging="419"/>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DAA42-866B-48B2-9D18-CFF2E1AE6EB2}">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643</Words>
  <Characters>3667</Characters>
  <Lines>30</Lines>
  <Paragraphs>8</Paragraphs>
  <TotalTime>0</TotalTime>
  <ScaleCrop>false</ScaleCrop>
  <LinksUpToDate>false</LinksUpToDate>
  <CharactersWithSpaces>4302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2023-07-21T08:10:00Z</dcterms:created>
  <dc:creator>zhengy</dc:creator>
  <cp:lastModifiedBy>颜超逸</cp:lastModifiedBy>
  <cp:lastPrinted>2022-04-07T01:55:00Z</cp:lastPrinted>
  <dcterms:modified xsi:type="dcterms:W3CDTF">2023-08-15T08:23:49Z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C1D9020B2A9F45199CEB0A413DEFBA94_12</vt:lpwstr>
  </property>
</Properties>
</file>